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68519" w14:textId="37AB3270"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371090">
        <w:rPr>
          <w:rFonts w:ascii="Arial" w:hAnsi="Arial" w:cs="Arial"/>
          <w:b/>
          <w:sz w:val="24"/>
          <w:lang w:val="en-US"/>
        </w:rPr>
        <w:t>GPP TSG RAN WG2 Meeting #105</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R2-190</w:t>
      </w:r>
      <w:r w:rsidR="00204C6D">
        <w:rPr>
          <w:rFonts w:ascii="Arial" w:hAnsi="Arial" w:cs="Arial"/>
          <w:b/>
          <w:sz w:val="24"/>
        </w:rPr>
        <w:t>0761</w:t>
      </w:r>
    </w:p>
    <w:p w14:paraId="71DCD6A9" w14:textId="59AB7A26" w:rsidR="00700715" w:rsidRPr="00FC7BBB" w:rsidRDefault="00371090" w:rsidP="00700715">
      <w:pPr>
        <w:spacing w:after="0"/>
        <w:rPr>
          <w:rFonts w:ascii="Arial" w:hAnsi="Arial" w:cs="Arial"/>
          <w:b/>
          <w:sz w:val="24"/>
        </w:rPr>
      </w:pPr>
      <w:r>
        <w:rPr>
          <w:rFonts w:ascii="Arial" w:hAnsi="Arial" w:cs="Arial"/>
          <w:b/>
          <w:sz w:val="24"/>
          <w:lang w:val="en-US"/>
        </w:rPr>
        <w:t>Athens</w:t>
      </w:r>
      <w:r w:rsidR="00700715">
        <w:rPr>
          <w:rFonts w:ascii="Arial" w:hAnsi="Arial" w:cs="Arial"/>
          <w:b/>
          <w:sz w:val="24"/>
          <w:lang w:val="en-US"/>
        </w:rPr>
        <w:t xml:space="preserve">, </w:t>
      </w:r>
      <w:r>
        <w:rPr>
          <w:rFonts w:ascii="Arial" w:hAnsi="Arial" w:cs="Arial"/>
          <w:b/>
          <w:sz w:val="24"/>
          <w:lang w:val="en-US"/>
        </w:rPr>
        <w:t>Greece, Feb</w:t>
      </w:r>
      <w:r w:rsidR="00700715">
        <w:rPr>
          <w:rFonts w:ascii="Arial" w:hAnsi="Arial" w:cs="Arial"/>
          <w:b/>
          <w:sz w:val="24"/>
          <w:lang w:val="en-US"/>
        </w:rPr>
        <w:t xml:space="preserve"> 2</w:t>
      </w:r>
      <w:r>
        <w:rPr>
          <w:rFonts w:ascii="Arial" w:hAnsi="Arial" w:cs="Arial"/>
          <w:b/>
          <w:sz w:val="24"/>
          <w:lang w:val="en-US"/>
        </w:rPr>
        <w:t>5</w:t>
      </w:r>
      <w:r w:rsidR="00700715">
        <w:rPr>
          <w:rFonts w:ascii="Arial" w:hAnsi="Arial" w:cs="Arial"/>
          <w:b/>
          <w:sz w:val="24"/>
          <w:vertAlign w:val="superscript"/>
          <w:lang w:val="en-US"/>
        </w:rPr>
        <w:t>th</w:t>
      </w:r>
      <w:r>
        <w:rPr>
          <w:rFonts w:ascii="Arial" w:hAnsi="Arial" w:cs="Arial"/>
          <w:b/>
          <w:sz w:val="24"/>
          <w:lang w:val="en-US"/>
        </w:rPr>
        <w:t xml:space="preserve"> – 1</w:t>
      </w:r>
      <w:r>
        <w:rPr>
          <w:rFonts w:ascii="Arial" w:hAnsi="Arial" w:cs="Arial"/>
          <w:b/>
          <w:sz w:val="24"/>
          <w:vertAlign w:val="superscript"/>
          <w:lang w:val="en-US"/>
        </w:rPr>
        <w:t>st</w:t>
      </w:r>
      <w:r>
        <w:rPr>
          <w:rFonts w:ascii="Arial" w:hAnsi="Arial" w:cs="Arial"/>
          <w:b/>
          <w:sz w:val="24"/>
          <w:lang w:val="en-US"/>
        </w:rPr>
        <w:t xml:space="preserve"> Mar,</w:t>
      </w:r>
      <w:r w:rsidR="00700715">
        <w:rPr>
          <w:rFonts w:ascii="Arial" w:hAnsi="Arial" w:cs="Arial"/>
          <w:b/>
          <w:sz w:val="24"/>
          <w:lang w:val="en-US"/>
        </w:rPr>
        <w:t xml:space="preserve"> 2019</w:t>
      </w:r>
      <w:r w:rsidR="00700715"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2495DCE5"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B5068">
        <w:rPr>
          <w:rFonts w:ascii="Arial" w:hAnsi="Arial" w:cs="Arial"/>
          <w:b/>
          <w:bCs/>
          <w:sz w:val="24"/>
          <w:lang w:val="en-US"/>
        </w:rPr>
        <w:t>11.13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2447F1B8"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00CF2AB2">
        <w:rPr>
          <w:rFonts w:ascii="Arial" w:hAnsi="Arial" w:cs="Arial"/>
          <w:b/>
          <w:bCs/>
          <w:sz w:val="24"/>
          <w:lang w:val="en-US"/>
        </w:rPr>
        <w:t>RAN2 impact on</w:t>
      </w:r>
      <w:r w:rsidR="00F4231A">
        <w:rPr>
          <w:rFonts w:ascii="Arial" w:hAnsi="Arial" w:cs="Arial"/>
          <w:b/>
          <w:bCs/>
          <w:sz w:val="24"/>
          <w:lang w:val="en-US"/>
        </w:rPr>
        <w:t xml:space="preserve"> </w:t>
      </w:r>
      <w:r w:rsidR="00371090">
        <w:rPr>
          <w:rFonts w:ascii="Arial" w:hAnsi="Arial" w:cs="Arial"/>
          <w:b/>
          <w:bCs/>
          <w:sz w:val="24"/>
          <w:lang w:val="en-US"/>
        </w:rPr>
        <w:t>Non-Public Network Deployment</w:t>
      </w:r>
      <w:r w:rsidR="00B85E93">
        <w:rPr>
          <w:rFonts w:ascii="Arial" w:hAnsi="Arial" w:cs="Arial"/>
          <w:b/>
          <w:bCs/>
          <w:sz w:val="24"/>
          <w:lang w:val="en-US"/>
        </w:rPr>
        <w:t xml:space="preserve"> using CAG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r>
        <w:rPr>
          <w:sz w:val="28"/>
        </w:rPr>
        <w:t>Introduction</w:t>
      </w:r>
      <w:r w:rsidR="00DE31C2">
        <w:rPr>
          <w:sz w:val="28"/>
        </w:rPr>
        <w:t xml:space="preserve"> </w:t>
      </w:r>
    </w:p>
    <w:p w14:paraId="021D9C37" w14:textId="4F1FE7D5" w:rsidR="00396B04" w:rsidRDefault="00371090">
      <w:pPr>
        <w:rPr>
          <w:rFonts w:ascii="Times New Roman" w:hAnsi="Times New Roman"/>
        </w:rPr>
      </w:pPr>
      <w:r w:rsidRPr="00371090">
        <w:rPr>
          <w:rFonts w:ascii="Times New Roman" w:hAnsi="Times New Roman"/>
        </w:rPr>
        <w:t>SA2 sent a LS</w:t>
      </w:r>
      <w:r>
        <w:rPr>
          <w:rFonts w:ascii="Times New Roman" w:hAnsi="Times New Roman"/>
        </w:rPr>
        <w:t xml:space="preserve"> [1]</w:t>
      </w:r>
      <w:r w:rsidRPr="00371090">
        <w:rPr>
          <w:rFonts w:ascii="Times New Roman" w:hAnsi="Times New Roman"/>
        </w:rPr>
        <w:t xml:space="preserve"> to RAN2 regarding the support non-public networks (NPN)</w:t>
      </w:r>
      <w:r>
        <w:rPr>
          <w:rFonts w:ascii="Times New Roman" w:hAnsi="Times New Roman"/>
        </w:rPr>
        <w:t>. According to the LS, 2 solutions have been selected</w:t>
      </w:r>
      <w:r w:rsidR="006F7696">
        <w:rPr>
          <w:rFonts w:ascii="Times New Roman" w:hAnsi="Times New Roman"/>
        </w:rPr>
        <w:t xml:space="preserve"> [</w:t>
      </w:r>
      <w:r>
        <w:rPr>
          <w:rFonts w:ascii="Times New Roman" w:hAnsi="Times New Roman"/>
        </w:rPr>
        <w:t>:</w:t>
      </w:r>
    </w:p>
    <w:p w14:paraId="0675FE75" w14:textId="6714BD1D" w:rsidR="00371090" w:rsidRDefault="006F7696" w:rsidP="006F7696">
      <w:pPr>
        <w:ind w:left="720"/>
        <w:rPr>
          <w:rFonts w:ascii="Times New Roman" w:hAnsi="Times New Roman"/>
        </w:rPr>
      </w:pPr>
      <w:r>
        <w:rPr>
          <w:rFonts w:ascii="Times New Roman" w:hAnsi="Times New Roman"/>
        </w:rPr>
        <w:t xml:space="preserve">Solution#1: Support </w:t>
      </w:r>
      <w:r>
        <w:t>a stand-alone Non-Public Network (SNPN) deployment, i.e. not relying on network functions provided by a PLMN</w:t>
      </w:r>
    </w:p>
    <w:p w14:paraId="269E98B6" w14:textId="0B382A42" w:rsidR="006F7696" w:rsidRDefault="006F7696" w:rsidP="006F7696">
      <w:pPr>
        <w:ind w:left="720"/>
      </w:pPr>
      <w:r>
        <w:rPr>
          <w:rFonts w:ascii="Times New Roman" w:hAnsi="Times New Roman"/>
        </w:rPr>
        <w:t xml:space="preserve">Solution#2: Support </w:t>
      </w:r>
      <w:r>
        <w:t>a non-stand-alone Non-Public Network deployment, i.e. with the support of a PLMN.</w:t>
      </w:r>
    </w:p>
    <w:p w14:paraId="153B8207" w14:textId="43AB09CD" w:rsidR="00346395" w:rsidRDefault="00197628" w:rsidP="006F7696">
      <w:r>
        <w:t>The action to RAN2 is to specify the related RAN functionality to support the 2 solutions.</w:t>
      </w:r>
    </w:p>
    <w:p w14:paraId="21A7FC1F" w14:textId="5F02EC43" w:rsidR="006F7696" w:rsidRDefault="006F7696" w:rsidP="006F7696">
      <w:pPr>
        <w:rPr>
          <w:rFonts w:ascii="Times New Roman" w:hAnsi="Times New Roman"/>
        </w:rPr>
      </w:pPr>
      <w:r>
        <w:t>In this contribution, the RAN2 impac</w:t>
      </w:r>
      <w:r w:rsidR="009A1773">
        <w:t>t</w:t>
      </w:r>
      <w:r w:rsidR="005E120B">
        <w:t>s</w:t>
      </w:r>
      <w:r w:rsidR="009A1773">
        <w:t xml:space="preserve"> for </w:t>
      </w:r>
      <w:r w:rsidR="001649C6">
        <w:t>the Solution#2</w:t>
      </w:r>
      <w:r w:rsidR="009A1773">
        <w:t xml:space="preserve"> are analysed</w:t>
      </w:r>
      <w:r>
        <w:t xml:space="preserve"> based on the </w:t>
      </w:r>
      <w:r w:rsidR="00A655C8">
        <w:t>SA2 CRs [3</w:t>
      </w:r>
      <w:r w:rsidR="002961A3">
        <w:t>]</w:t>
      </w:r>
      <w:r w:rsidR="006A344B">
        <w:t>.</w:t>
      </w:r>
    </w:p>
    <w:p w14:paraId="3AB13F40" w14:textId="54DE0935" w:rsidR="008A769F" w:rsidRDefault="00201426" w:rsidP="008A769F">
      <w:pPr>
        <w:pStyle w:val="Heading1"/>
        <w:keepNext w:val="0"/>
        <w:widowControl w:val="0"/>
        <w:spacing w:before="480" w:after="120"/>
        <w:ind w:left="518" w:hanging="518"/>
        <w:rPr>
          <w:sz w:val="28"/>
        </w:rPr>
      </w:pPr>
      <w:r>
        <w:rPr>
          <w:sz w:val="28"/>
        </w:rPr>
        <w:t>Discussion</w:t>
      </w:r>
    </w:p>
    <w:p w14:paraId="157A9EA6" w14:textId="233EEE55" w:rsidR="001649C6" w:rsidRPr="001649C6" w:rsidRDefault="001649C6" w:rsidP="001649C6">
      <w:r>
        <w:t>As mentioned in Section, non-standalone Non-Public Network deployment are NPNs made available with the support of a PLMN. Such support can be provided e.g. by one (or more) Network Slice allocated for the NPN. However</w:t>
      </w:r>
      <w:r w:rsidR="00A655C8">
        <w:t>, as in [3], “</w:t>
      </w:r>
      <w:r w:rsidR="00A655C8" w:rsidRPr="00E50DCA">
        <w:t>network slicing does not enable the possibility to avoid UEs trying to access the network in areas which the UE is not allowed to use the Network Slice</w:t>
      </w:r>
      <w:r w:rsidR="00A655C8">
        <w:t>”. Hence a Closed Access Group concept, similar to LTE CSG, is needed on top of the network slice. Basically, a Closed Access Group identifies a group of subscribers who are permitted to access one or more CAG cells.</w:t>
      </w:r>
    </w:p>
    <w:p w14:paraId="3E885567" w14:textId="7150B4BF" w:rsidR="003261A7" w:rsidRDefault="002961A3" w:rsidP="002961A3">
      <w:pPr>
        <w:pStyle w:val="Heading2"/>
        <w:rPr>
          <w:lang w:val="en-US"/>
        </w:rPr>
      </w:pPr>
      <w:r>
        <w:rPr>
          <w:lang w:val="en-US"/>
        </w:rPr>
        <w:t xml:space="preserve">Impact on </w:t>
      </w:r>
      <w:r w:rsidR="003261A7">
        <w:rPr>
          <w:lang w:val="en-US"/>
        </w:rPr>
        <w:t>Network Identification</w:t>
      </w:r>
    </w:p>
    <w:p w14:paraId="404A0347" w14:textId="5BA4959A" w:rsidR="00A655C8" w:rsidRDefault="00A245EC" w:rsidP="00A655C8">
      <w:pPr>
        <w:rPr>
          <w:lang w:val="en-US"/>
        </w:rPr>
      </w:pPr>
      <w:r>
        <w:rPr>
          <w:lang w:val="en-US"/>
        </w:rPr>
        <w:t>Based on Section 5.x.3.2, a CAG cell broadcast:</w:t>
      </w:r>
    </w:p>
    <w:p w14:paraId="540C1740" w14:textId="3E22EF4C" w:rsidR="00A245EC" w:rsidRDefault="00A245EC" w:rsidP="00A245EC">
      <w:pPr>
        <w:pStyle w:val="ListParagraph"/>
        <w:numPr>
          <w:ilvl w:val="0"/>
          <w:numId w:val="32"/>
        </w:numPr>
        <w:rPr>
          <w:lang w:val="en-US"/>
        </w:rPr>
      </w:pPr>
      <w:r>
        <w:rPr>
          <w:lang w:val="en-US"/>
        </w:rPr>
        <w:t>CAG identifier per PLMN</w:t>
      </w:r>
    </w:p>
    <w:p w14:paraId="5D431D09" w14:textId="4B542729" w:rsidR="00A245EC" w:rsidRDefault="00A245EC" w:rsidP="00A245EC">
      <w:pPr>
        <w:pStyle w:val="ListParagraph"/>
        <w:numPr>
          <w:ilvl w:val="0"/>
          <w:numId w:val="32"/>
        </w:numPr>
        <w:rPr>
          <w:lang w:val="en-US"/>
        </w:rPr>
      </w:pPr>
      <w:r>
        <w:rPr>
          <w:lang w:val="en-US"/>
        </w:rPr>
        <w:t>Each CAG identifier may optionally have a human-readable network name used for manual selection</w:t>
      </w:r>
    </w:p>
    <w:p w14:paraId="64AA3E19" w14:textId="64359B54" w:rsidR="00A245EC" w:rsidRDefault="00A245EC" w:rsidP="00A245EC">
      <w:pPr>
        <w:rPr>
          <w:lang w:val="en-US"/>
        </w:rPr>
      </w:pPr>
      <w:r>
        <w:rPr>
          <w:lang w:val="en-US"/>
        </w:rPr>
        <w:t>It is FFS on w</w:t>
      </w:r>
      <w:r w:rsidRPr="00A245EC">
        <w:rPr>
          <w:lang w:val="en-US"/>
        </w:rPr>
        <w:t>hether there can be a list of CAG identifiers per PLMN</w:t>
      </w:r>
      <w:r>
        <w:rPr>
          <w:lang w:val="en-US"/>
        </w:rPr>
        <w:t>. The RAN2 impact is on which SIB to broadcast this information</w:t>
      </w:r>
      <w:r w:rsidR="00CA585B">
        <w:rPr>
          <w:lang w:val="en-US"/>
        </w:rPr>
        <w:t>. CAG identifier can be seen to be a form of access control. It can also be seen to impact the suitability of a cell for a UE. Hence for CAG Identifier, it should be part of SIB1. As for the human-readable network name used for manual selection, it may not be essential to place it in SIB1 and can be in another SIB.</w:t>
      </w:r>
      <w:r w:rsidR="00326749">
        <w:rPr>
          <w:lang w:val="en-US"/>
        </w:rPr>
        <w:t xml:space="preserve"> A new SIB should be used to prevent UE not supporting NPN for having to decode larger existing SIB because of the new inclusion.</w:t>
      </w:r>
    </w:p>
    <w:p w14:paraId="319B4CF1" w14:textId="0FA37A41" w:rsidR="00CA585B" w:rsidRPr="00A245EC" w:rsidRDefault="00CA585B" w:rsidP="00A245EC">
      <w:pPr>
        <w:rPr>
          <w:lang w:val="en-US"/>
        </w:rPr>
      </w:pPr>
      <w:r>
        <w:rPr>
          <w:lang w:val="en-US"/>
        </w:rPr>
        <w:t xml:space="preserve">Whether it should be part of </w:t>
      </w:r>
      <w:r w:rsidRPr="00326749">
        <w:rPr>
          <w:i/>
        </w:rPr>
        <w:t>cellAccessRelatedInfo</w:t>
      </w:r>
      <w:r>
        <w:rPr>
          <w:lang w:val="en-US"/>
        </w:rPr>
        <w:t xml:space="preserve"> or</w:t>
      </w:r>
      <w:r>
        <w:t xml:space="preserve"> </w:t>
      </w:r>
      <w:r w:rsidRPr="00326749">
        <w:rPr>
          <w:i/>
        </w:rPr>
        <w:t>uac-BarringInfo</w:t>
      </w:r>
      <w:r>
        <w:t xml:space="preserve"> depends on whether it is considered as access control or for suitability check.</w:t>
      </w:r>
      <w:r w:rsidRPr="00645E3C">
        <w:t xml:space="preserve">                     </w:t>
      </w:r>
    </w:p>
    <w:p w14:paraId="1A9715F0" w14:textId="4D825E5F" w:rsidR="00B3442F" w:rsidRDefault="000B0E1F" w:rsidP="003261A7">
      <w:pPr>
        <w:pStyle w:val="B1"/>
        <w:ind w:left="0" w:firstLine="0"/>
      </w:pPr>
      <w:r>
        <w:rPr>
          <w:b/>
        </w:rPr>
        <w:t xml:space="preserve">Observation#1: </w:t>
      </w:r>
      <w:r w:rsidRPr="000B0E1F">
        <w:t>Impact on Network Identification: Update the SIB (either in SIB1 or new SIB) to include the CAG identifier per PLMN and also the human-readable network name.</w:t>
      </w:r>
      <w:r>
        <w:t xml:space="preserve"> It is the same as how the CSG is broadcast</w:t>
      </w:r>
      <w:r w:rsidR="005E120B">
        <w:t xml:space="preserve"> in LTE</w:t>
      </w:r>
    </w:p>
    <w:p w14:paraId="313155EE" w14:textId="4B91C4BE" w:rsidR="00B3442F" w:rsidRDefault="002961A3" w:rsidP="002961A3">
      <w:pPr>
        <w:pStyle w:val="Heading2"/>
      </w:pPr>
      <w:r>
        <w:t xml:space="preserve">Impact on </w:t>
      </w:r>
      <w:r w:rsidR="00DD6DAE">
        <w:t xml:space="preserve">Network </w:t>
      </w:r>
      <w:r w:rsidR="00326749">
        <w:t xml:space="preserve">and cell </w:t>
      </w:r>
      <w:r w:rsidR="00DD6DAE">
        <w:t>selection</w:t>
      </w:r>
    </w:p>
    <w:p w14:paraId="64A62D5C" w14:textId="62E24766" w:rsidR="00780AFF" w:rsidRPr="00780AFF" w:rsidRDefault="00780AFF" w:rsidP="00780AFF">
      <w:r>
        <w:t xml:space="preserve">For non-standalone Non-Public Network, it requires the support of PLMN and hence PLMN selection is still required as in Rel-15 NR. On top of it, the UE AS has to provide the UE NAS with also the CAG ID(s) that are supported per PLMN. For </w:t>
      </w:r>
      <w:bookmarkStart w:id="1" w:name="_GoBack"/>
      <w:bookmarkEnd w:id="1"/>
      <w:r>
        <w:t>manual CAG selection, it will also need the human readable names per CAG ID. The following needs to be forwarded to the upper layer:</w:t>
      </w:r>
    </w:p>
    <w:p w14:paraId="071396D5" w14:textId="65610A59" w:rsidR="001F136B" w:rsidRDefault="001F136B" w:rsidP="001F136B">
      <w:pPr>
        <w:pStyle w:val="B1"/>
        <w:numPr>
          <w:ilvl w:val="0"/>
          <w:numId w:val="29"/>
        </w:numPr>
      </w:pPr>
      <w:r>
        <w:t>List of PLMN ID</w:t>
      </w:r>
      <w:r w:rsidR="00780AFF">
        <w:t xml:space="preserve"> for normal PLMN selection</w:t>
      </w:r>
    </w:p>
    <w:p w14:paraId="4458CF18" w14:textId="713B7398" w:rsidR="001F136B" w:rsidRDefault="00780AFF" w:rsidP="001F136B">
      <w:pPr>
        <w:pStyle w:val="B1"/>
        <w:numPr>
          <w:ilvl w:val="0"/>
          <w:numId w:val="29"/>
        </w:numPr>
      </w:pPr>
      <w:r>
        <w:t>CAG ID</w:t>
      </w:r>
      <w:r w:rsidR="001F136B">
        <w:t xml:space="preserve"> per PLMN</w:t>
      </w:r>
      <w:r>
        <w:t xml:space="preserve"> (list of CAG ID per PLMN is still FFS)</w:t>
      </w:r>
    </w:p>
    <w:p w14:paraId="3407B946" w14:textId="665D6CF2" w:rsidR="001F136B" w:rsidRDefault="00780AFF" w:rsidP="001F136B">
      <w:pPr>
        <w:pStyle w:val="B1"/>
        <w:numPr>
          <w:ilvl w:val="0"/>
          <w:numId w:val="29"/>
        </w:numPr>
      </w:pPr>
      <w:r>
        <w:lastRenderedPageBreak/>
        <w:t xml:space="preserve">Human readable names per CAG </w:t>
      </w:r>
      <w:r w:rsidR="001F136B">
        <w:t>ID (if available)</w:t>
      </w:r>
    </w:p>
    <w:p w14:paraId="1DC8564F" w14:textId="18DD5396" w:rsidR="003261A7" w:rsidRDefault="00780AFF" w:rsidP="003261A7">
      <w:pPr>
        <w:pStyle w:val="B1"/>
        <w:ind w:left="0" w:firstLine="0"/>
      </w:pPr>
      <w:r>
        <w:t>As in [3], the UE is configured with the following to support CAG:</w:t>
      </w:r>
    </w:p>
    <w:p w14:paraId="6BA99BB2" w14:textId="77777777" w:rsidR="003C43B0" w:rsidRPr="003C43B0" w:rsidRDefault="00780AFF" w:rsidP="007A5CC2">
      <w:pPr>
        <w:pStyle w:val="B1"/>
        <w:numPr>
          <w:ilvl w:val="0"/>
          <w:numId w:val="34"/>
        </w:numPr>
        <w:rPr>
          <w:i/>
        </w:rPr>
      </w:pPr>
      <w:r w:rsidRPr="003C43B0">
        <w:rPr>
          <w:i/>
        </w:rPr>
        <w:t>an Allowed CAG list i.e. a list of CAG Identifiers the UE is allowed to access; and</w:t>
      </w:r>
    </w:p>
    <w:p w14:paraId="316C06D3" w14:textId="64C6EE01" w:rsidR="00780AFF" w:rsidRPr="003C43B0" w:rsidRDefault="00780AFF" w:rsidP="003C43B0">
      <w:pPr>
        <w:pStyle w:val="B1"/>
        <w:numPr>
          <w:ilvl w:val="0"/>
          <w:numId w:val="34"/>
        </w:numPr>
        <w:rPr>
          <w:i/>
        </w:rPr>
      </w:pPr>
      <w:r w:rsidRPr="003C43B0">
        <w:rPr>
          <w:i/>
        </w:rPr>
        <w:t>optionally, an indication whether the UE is only allowed to access 5GS via CAG cells (see TS 38.304 [50] for how the UE identifies whether a cell is a CAG cell);</w:t>
      </w:r>
    </w:p>
    <w:p w14:paraId="184E92A3" w14:textId="77777777" w:rsidR="00780AFF" w:rsidRPr="003C43B0" w:rsidRDefault="00780AFF" w:rsidP="00780AFF">
      <w:pPr>
        <w:pStyle w:val="EditorsNote"/>
        <w:rPr>
          <w:i/>
          <w:color w:val="000000" w:themeColor="text1"/>
        </w:rPr>
      </w:pPr>
      <w:r w:rsidRPr="003C43B0">
        <w:rPr>
          <w:i/>
          <w:color w:val="000000" w:themeColor="text1"/>
        </w:rPr>
        <w:t>Editor's Note:</w:t>
      </w:r>
      <w:r w:rsidRPr="003C43B0">
        <w:rPr>
          <w:i/>
          <w:color w:val="000000" w:themeColor="text1"/>
        </w:rPr>
        <w:tab/>
        <w:t>The above indication addresses e.g. the following 22.261 requirement: "5G system shall support a mechanism to prevent a UE with a subscription to a non-public network from automatically selecting and attaching to a PLMN or non-public network it is not authorised to select.", but it is FFS whether the indication is needed.</w:t>
      </w:r>
    </w:p>
    <w:p w14:paraId="131B4972" w14:textId="2DFD5308" w:rsidR="00780AFF" w:rsidRPr="00780AFF" w:rsidRDefault="00780AFF" w:rsidP="003261A7">
      <w:pPr>
        <w:pStyle w:val="B1"/>
        <w:ind w:left="0" w:firstLine="0"/>
        <w:rPr>
          <w:lang w:val="en-GB"/>
        </w:rPr>
      </w:pPr>
      <w:r>
        <w:rPr>
          <w:lang w:val="en-GB"/>
        </w:rPr>
        <w:t xml:space="preserve">Based on the allowed CAG list and the CAG ID per </w:t>
      </w:r>
      <w:r w:rsidR="00392DA5">
        <w:rPr>
          <w:lang w:val="en-GB"/>
        </w:rPr>
        <w:t>PLMN broadcast in the cell, the UE NAS can select the PLMN ID and CAG ID. With the selected PLMN ID and CAG ID, the UE can perform the cell selection for a CAG</w:t>
      </w:r>
      <w:r w:rsidR="003C43B0">
        <w:rPr>
          <w:lang w:val="en-GB"/>
        </w:rPr>
        <w:t xml:space="preserve">. </w:t>
      </w:r>
      <w:r w:rsidR="00392DA5">
        <w:rPr>
          <w:lang w:val="en-GB"/>
        </w:rPr>
        <w:t xml:space="preserve"> </w:t>
      </w:r>
      <w:r w:rsidR="003C43B0">
        <w:rPr>
          <w:lang w:val="en-GB"/>
        </w:rPr>
        <w:t>As for the indication, it is still FFS whether such an indication is needed.</w:t>
      </w:r>
    </w:p>
    <w:p w14:paraId="5BBC4D0A" w14:textId="759ACCA5" w:rsidR="00D82172" w:rsidRDefault="000B0E1F" w:rsidP="003261A7">
      <w:pPr>
        <w:pStyle w:val="B1"/>
        <w:ind w:left="0" w:firstLine="0"/>
      </w:pPr>
      <w:r>
        <w:rPr>
          <w:b/>
        </w:rPr>
        <w:t>Observation#2:</w:t>
      </w:r>
      <w:r w:rsidR="00392DA5">
        <w:t xml:space="preserve"> For network </w:t>
      </w:r>
      <w:r w:rsidR="00D82172">
        <w:t xml:space="preserve">selection, </w:t>
      </w:r>
      <w:r w:rsidR="001F136B">
        <w:t>the UE AS has to provide the following information to UE NAS upon reading the SIB during network selection</w:t>
      </w:r>
      <w:r w:rsidR="00392DA5">
        <w:t xml:space="preserve"> in addition to the PLMN IDs</w:t>
      </w:r>
      <w:r w:rsidR="001F136B">
        <w:t>:</w:t>
      </w:r>
    </w:p>
    <w:p w14:paraId="39517502" w14:textId="77777777" w:rsidR="00392DA5" w:rsidRDefault="00392DA5" w:rsidP="00392DA5">
      <w:pPr>
        <w:pStyle w:val="B1"/>
        <w:numPr>
          <w:ilvl w:val="0"/>
          <w:numId w:val="35"/>
        </w:numPr>
      </w:pPr>
      <w:r>
        <w:t>CAG ID per PLMN (list of CAG ID per PLMN is still FFS)</w:t>
      </w:r>
    </w:p>
    <w:p w14:paraId="050293DD" w14:textId="77777777" w:rsidR="00392DA5" w:rsidRDefault="00392DA5" w:rsidP="00392DA5">
      <w:pPr>
        <w:pStyle w:val="B1"/>
        <w:numPr>
          <w:ilvl w:val="0"/>
          <w:numId w:val="35"/>
        </w:numPr>
      </w:pPr>
      <w:r>
        <w:t>Human readable names per CAG ID (if available)</w:t>
      </w:r>
    </w:p>
    <w:p w14:paraId="618A7B00" w14:textId="1D65B73A" w:rsidR="00392DA5" w:rsidRDefault="000B0E1F" w:rsidP="003261A7">
      <w:pPr>
        <w:pStyle w:val="B1"/>
        <w:ind w:left="0" w:firstLine="0"/>
      </w:pPr>
      <w:r>
        <w:rPr>
          <w:b/>
        </w:rPr>
        <w:t>Observation#3</w:t>
      </w:r>
      <w:r w:rsidR="00392DA5" w:rsidRPr="000777A3">
        <w:rPr>
          <w:b/>
        </w:rPr>
        <w:t>:</w:t>
      </w:r>
      <w:r w:rsidR="00392DA5">
        <w:t xml:space="preserve"> For cell selection to a CAG cell, the UE AS is provided with </w:t>
      </w:r>
      <w:r>
        <w:t>PLMN ID and CAG ID</w:t>
      </w:r>
      <w:r w:rsidR="00CE0BED">
        <w:t xml:space="preserve"> by the UE NAS. This is</w:t>
      </w:r>
      <w:r>
        <w:t xml:space="preserve"> similar to how </w:t>
      </w:r>
      <w:r w:rsidR="00CE0BED">
        <w:t xml:space="preserve">LTE </w:t>
      </w:r>
      <w:r>
        <w:t>CSG works</w:t>
      </w:r>
      <w:r w:rsidR="00CE0BED">
        <w:t xml:space="preserve"> for manual selection</w:t>
      </w:r>
      <w:r>
        <w:t>.</w:t>
      </w:r>
    </w:p>
    <w:p w14:paraId="189DAC0F" w14:textId="410B4639" w:rsidR="00392DA5" w:rsidRDefault="003C43B0" w:rsidP="003261A7">
      <w:pPr>
        <w:pStyle w:val="B1"/>
        <w:ind w:left="0" w:firstLine="0"/>
      </w:pPr>
      <w:r>
        <w:t xml:space="preserve">Once the UE </w:t>
      </w:r>
      <w:r w:rsidR="007A66C0">
        <w:t>(re)</w:t>
      </w:r>
      <w:r>
        <w:t>selects a cell to camp on</w:t>
      </w:r>
      <w:r w:rsidR="007A66C0">
        <w:t>, it will have to determine whether it can access the cell. There are 2 ways to achieve this:</w:t>
      </w:r>
    </w:p>
    <w:p w14:paraId="148FCC19" w14:textId="63EBE9D2" w:rsidR="007A66C0" w:rsidRDefault="007A66C0" w:rsidP="007A66C0">
      <w:pPr>
        <w:pStyle w:val="B1"/>
        <w:numPr>
          <w:ilvl w:val="0"/>
          <w:numId w:val="36"/>
        </w:numPr>
      </w:pPr>
      <w:r>
        <w:t>CAG ID</w:t>
      </w:r>
      <w:r w:rsidR="00CD5699">
        <w:t xml:space="preserve"> check</w:t>
      </w:r>
      <w:r>
        <w:t xml:space="preserve"> as a suitability check</w:t>
      </w:r>
    </w:p>
    <w:p w14:paraId="739BD649" w14:textId="0922AA49" w:rsidR="00CD5699" w:rsidRDefault="007A66C0" w:rsidP="00CD5699">
      <w:pPr>
        <w:pStyle w:val="B1"/>
        <w:numPr>
          <w:ilvl w:val="0"/>
          <w:numId w:val="36"/>
        </w:numPr>
      </w:pPr>
      <w:r>
        <w:t>CAG ID</w:t>
      </w:r>
      <w:r w:rsidR="00CD5699">
        <w:t xml:space="preserve"> check</w:t>
      </w:r>
      <w:r>
        <w:t xml:space="preserve"> as part of unified access control</w:t>
      </w:r>
    </w:p>
    <w:p w14:paraId="26D6DAAB" w14:textId="43905306" w:rsidR="00CD5699" w:rsidRDefault="00CD5699" w:rsidP="003261A7">
      <w:pPr>
        <w:pStyle w:val="B1"/>
        <w:ind w:left="0" w:firstLine="0"/>
      </w:pPr>
      <w:r>
        <w:t>For A</w:t>
      </w:r>
      <w:r w:rsidR="007A66C0">
        <w:t xml:space="preserve">pproach 1, if the CAG cell (re)selected does not contain the selected CAG ID, the UE will consider the cell as not suitable. For cell selection, the UE will keep searching for a suitable cell (among non-CAG cell and CAG cell). For cell reselection, the UE may bar the CAG cell as well as other cells </w:t>
      </w:r>
      <w:r>
        <w:t>in the same frequency as follow:</w:t>
      </w:r>
    </w:p>
    <w:p w14:paraId="53F09B4F" w14:textId="77777777" w:rsidR="00CD5699" w:rsidRPr="00BD5C90" w:rsidRDefault="00CD5699" w:rsidP="00CD5699">
      <w:pPr>
        <w:ind w:left="518"/>
        <w:rPr>
          <w:i/>
        </w:rPr>
      </w:pPr>
      <w:r w:rsidRPr="00BD5C90">
        <w:rPr>
          <w:i/>
        </w:rPr>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BD5C90">
        <w:rPr>
          <w:i/>
          <w:iCs/>
        </w:rPr>
        <w:t>any cell selection</w:t>
      </w:r>
      <w:r w:rsidRPr="00BD5C90">
        <w:rPr>
          <w:i/>
        </w:rPr>
        <w:t>, any limitation shall be removed.</w:t>
      </w:r>
    </w:p>
    <w:p w14:paraId="1B137907" w14:textId="77777777" w:rsidR="00CD5699" w:rsidRDefault="00CD5699" w:rsidP="003261A7">
      <w:pPr>
        <w:pStyle w:val="B1"/>
        <w:ind w:left="0" w:firstLine="0"/>
        <w:rPr>
          <w:lang w:val="en-GB"/>
        </w:rPr>
      </w:pPr>
      <w:r>
        <w:rPr>
          <w:lang w:val="en-GB"/>
        </w:rPr>
        <w:t>For Approach 2, the UE may (re)select to a CAG cell which it is not authorised to access. This may not be desirable as the UE will be denied service for a very long time.</w:t>
      </w:r>
    </w:p>
    <w:p w14:paraId="69337372" w14:textId="4EEE72F4" w:rsidR="000B0E1F" w:rsidRDefault="000B0E1F" w:rsidP="003261A7">
      <w:pPr>
        <w:pStyle w:val="B1"/>
        <w:ind w:left="0" w:firstLine="0"/>
        <w:rPr>
          <w:lang w:val="en-GB"/>
        </w:rPr>
      </w:pPr>
      <w:r>
        <w:rPr>
          <w:lang w:val="en-GB"/>
        </w:rPr>
        <w:t>This is also the case for CSG in LTE where CSG ID check is part of the suitability check.</w:t>
      </w:r>
    </w:p>
    <w:p w14:paraId="24380C6D" w14:textId="3D502245" w:rsidR="00CD5699" w:rsidRDefault="000B0E1F" w:rsidP="003261A7">
      <w:pPr>
        <w:pStyle w:val="B1"/>
        <w:ind w:left="0" w:firstLine="0"/>
        <w:rPr>
          <w:lang w:val="en-GB"/>
        </w:rPr>
      </w:pPr>
      <w:r>
        <w:rPr>
          <w:b/>
          <w:lang w:val="en-GB"/>
        </w:rPr>
        <w:t>Observation#4</w:t>
      </w:r>
      <w:r w:rsidR="00CD5699" w:rsidRPr="00CD5699">
        <w:rPr>
          <w:b/>
          <w:lang w:val="en-GB"/>
        </w:rPr>
        <w:t>:</w:t>
      </w:r>
      <w:r>
        <w:rPr>
          <w:lang w:val="en-GB"/>
        </w:rPr>
        <w:t xml:space="preserve"> Include the</w:t>
      </w:r>
      <w:r w:rsidR="00CD5699">
        <w:rPr>
          <w:lang w:val="en-GB"/>
        </w:rPr>
        <w:t xml:space="preserve"> </w:t>
      </w:r>
      <w:r>
        <w:rPr>
          <w:lang w:val="en-GB"/>
        </w:rPr>
        <w:t>checking of the CAG ID as</w:t>
      </w:r>
      <w:r w:rsidR="00CD5699">
        <w:rPr>
          <w:lang w:val="en-GB"/>
        </w:rPr>
        <w:t xml:space="preserve"> part of the cell suitability</w:t>
      </w:r>
      <w:r>
        <w:rPr>
          <w:lang w:val="en-GB"/>
        </w:rPr>
        <w:t xml:space="preserve"> during cell (re)selection. This is the same as LTE CSG.</w:t>
      </w:r>
    </w:p>
    <w:p w14:paraId="267F76AD" w14:textId="7710DFFB" w:rsidR="00564BB2" w:rsidRDefault="00CD5699" w:rsidP="003261A7">
      <w:pPr>
        <w:pStyle w:val="B1"/>
        <w:ind w:left="0" w:firstLine="0"/>
        <w:rPr>
          <w:lang w:val="en-GB"/>
        </w:rPr>
      </w:pPr>
      <w:r>
        <w:rPr>
          <w:lang w:val="en-GB"/>
        </w:rPr>
        <w:t xml:space="preserve">If the CAG cell can be in the same frequency as other CAG cell with different CAG ID and probably also non-CAG cell, the existing </w:t>
      </w:r>
      <w:r w:rsidR="00564BB2">
        <w:rPr>
          <w:lang w:val="en-GB"/>
        </w:rPr>
        <w:t>unsuitable camping rule should be change. The only barred cell is the CAG cell and not other cells in the same frequency.</w:t>
      </w:r>
      <w:r w:rsidR="000B0E1F">
        <w:rPr>
          <w:lang w:val="en-GB"/>
        </w:rPr>
        <w:t xml:space="preserve"> This is also specified in TS36.304 for CSG cell:</w:t>
      </w:r>
    </w:p>
    <w:p w14:paraId="703981BF" w14:textId="77777777" w:rsidR="000B0E1F" w:rsidRPr="000B0E1F" w:rsidRDefault="000B0E1F" w:rsidP="000B0E1F">
      <w:pPr>
        <w:ind w:left="720"/>
        <w:rPr>
          <w:rFonts w:ascii="Times New Roman" w:hAnsi="Times New Roman"/>
          <w:i/>
          <w:szCs w:val="20"/>
        </w:rPr>
      </w:pPr>
      <w:r w:rsidRPr="000B0E1F">
        <w:rPr>
          <w:i/>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7C2191FF" w14:textId="77777777" w:rsidR="000B0E1F" w:rsidRDefault="000B0E1F" w:rsidP="000B0E1F">
      <w:pPr>
        <w:pStyle w:val="B1"/>
        <w:ind w:left="720" w:firstLine="0"/>
        <w:rPr>
          <w:lang w:val="en-GB"/>
        </w:rPr>
      </w:pPr>
    </w:p>
    <w:p w14:paraId="021CD8E9" w14:textId="77777777" w:rsidR="000B0E1F" w:rsidRDefault="000B0E1F" w:rsidP="003261A7">
      <w:pPr>
        <w:pStyle w:val="B1"/>
        <w:ind w:left="0" w:firstLine="0"/>
        <w:rPr>
          <w:lang w:val="en-GB"/>
        </w:rPr>
      </w:pPr>
    </w:p>
    <w:p w14:paraId="52C4458E" w14:textId="5D6D8C9A" w:rsidR="00880851" w:rsidRDefault="000B0E1F" w:rsidP="003261A7">
      <w:pPr>
        <w:pStyle w:val="B1"/>
        <w:ind w:left="0" w:firstLine="0"/>
        <w:rPr>
          <w:lang w:val="en-GB"/>
        </w:rPr>
      </w:pPr>
      <w:r>
        <w:rPr>
          <w:b/>
          <w:lang w:val="en-GB"/>
        </w:rPr>
        <w:lastRenderedPageBreak/>
        <w:t>Observation#5</w:t>
      </w:r>
      <w:r w:rsidR="00564BB2" w:rsidRPr="00880851">
        <w:rPr>
          <w:b/>
          <w:lang w:val="en-GB"/>
        </w:rPr>
        <w:t>:</w:t>
      </w:r>
      <w:r w:rsidR="00564BB2">
        <w:rPr>
          <w:lang w:val="en-GB"/>
        </w:rPr>
        <w:t xml:space="preserve"> </w:t>
      </w:r>
      <w:r w:rsidR="00880851">
        <w:rPr>
          <w:lang w:val="en-GB"/>
        </w:rPr>
        <w:t xml:space="preserve">For unsuitable camping rule, only the CAG cell that </w:t>
      </w:r>
      <w:r w:rsidR="005E120B">
        <w:rPr>
          <w:lang w:val="en-GB"/>
        </w:rPr>
        <w:t xml:space="preserve">is </w:t>
      </w:r>
      <w:r w:rsidR="00880851">
        <w:rPr>
          <w:lang w:val="en-GB"/>
        </w:rPr>
        <w:t>not suitable should</w:t>
      </w:r>
      <w:r w:rsidR="005E120B">
        <w:rPr>
          <w:lang w:val="en-GB"/>
        </w:rPr>
        <w:t xml:space="preserve"> be</w:t>
      </w:r>
      <w:r w:rsidR="00880851">
        <w:rPr>
          <w:lang w:val="en-GB"/>
        </w:rPr>
        <w:t xml:space="preserve"> bar</w:t>
      </w:r>
      <w:r w:rsidR="005E120B">
        <w:rPr>
          <w:lang w:val="en-GB"/>
        </w:rPr>
        <w:t>red</w:t>
      </w:r>
      <w:r w:rsidR="00880851">
        <w:rPr>
          <w:lang w:val="en-GB"/>
        </w:rPr>
        <w:t xml:space="preserve"> and not other cells in the same frequency</w:t>
      </w:r>
      <w:r w:rsidR="005E120B">
        <w:rPr>
          <w:lang w:val="en-GB"/>
        </w:rPr>
        <w:t>,</w:t>
      </w:r>
      <w:r>
        <w:rPr>
          <w:lang w:val="en-GB"/>
        </w:rPr>
        <w:t xml:space="preserve"> as in LTE CSG</w:t>
      </w:r>
    </w:p>
    <w:p w14:paraId="5082FF3D" w14:textId="4A330CE4" w:rsidR="00CD5699" w:rsidRDefault="00880851" w:rsidP="003261A7">
      <w:pPr>
        <w:pStyle w:val="B1"/>
        <w:ind w:left="0" w:firstLine="0"/>
      </w:pPr>
      <w:r>
        <w:rPr>
          <w:lang w:val="en-GB"/>
        </w:rPr>
        <w:t>For UE that does not support CAG, it is specified that ‘</w:t>
      </w:r>
      <w:r w:rsidRPr="00E50DCA">
        <w:t>The CAG cell shall broadcast information preventing non-supporting UEs from accessing the cell</w:t>
      </w:r>
      <w:r>
        <w:rPr>
          <w:lang w:val="en-GB"/>
        </w:rPr>
        <w:t>’</w:t>
      </w:r>
      <w:r w:rsidR="0056691D">
        <w:rPr>
          <w:lang w:val="en-GB"/>
        </w:rPr>
        <w:t>. T</w:t>
      </w:r>
      <w:r w:rsidR="0056691D">
        <w:t xml:space="preserve">he existing NR has a forward compatible parameter </w:t>
      </w:r>
      <w:r w:rsidR="0056691D" w:rsidRPr="00A500E3">
        <w:rPr>
          <w:bCs/>
          <w:i/>
          <w:noProof/>
        </w:rPr>
        <w:t>cellReservedForOtherUse</w:t>
      </w:r>
      <w:r w:rsidR="0056691D">
        <w:t xml:space="preserve"> which is introduced for this purpose when it is set to ‘TRUE’.  In this case, the UE (be it legacy or non-CAG supporting UE) shall treat the cell as barred as specified in the existing behaviour (i.e. will not be considered as a candidate cell for reselection for barring time of up to 300s and corresponding IFRI on whether reselecting to cell of the same frequency is allowed).</w:t>
      </w:r>
    </w:p>
    <w:p w14:paraId="3DA2F19D" w14:textId="16754D8E" w:rsidR="0056691D" w:rsidRPr="00CE0AD8" w:rsidRDefault="000B0E1F" w:rsidP="0056691D">
      <w:r>
        <w:rPr>
          <w:b/>
        </w:rPr>
        <w:t>Observation</w:t>
      </w:r>
      <w:r w:rsidR="0056691D">
        <w:rPr>
          <w:b/>
        </w:rPr>
        <w:t>#6</w:t>
      </w:r>
      <w:r w:rsidR="0056691D" w:rsidRPr="000E410B">
        <w:rPr>
          <w:b/>
        </w:rPr>
        <w:t>:</w:t>
      </w:r>
      <w:r w:rsidR="0056691D">
        <w:t xml:space="preserve"> To prevent UEs not supporting CAG from accessing the cell, the forward compatible parameter </w:t>
      </w:r>
      <w:r w:rsidR="0056691D" w:rsidRPr="00A500E3">
        <w:rPr>
          <w:bCs/>
          <w:i/>
          <w:noProof/>
        </w:rPr>
        <w:t>cellReservedForOtherUse</w:t>
      </w:r>
      <w:r w:rsidR="0056691D">
        <w:t xml:space="preserve"> can be used</w:t>
      </w:r>
      <w:r>
        <w:t>, thus no further impact.</w:t>
      </w:r>
      <w:r w:rsidR="0056691D">
        <w:t xml:space="preserve">   </w:t>
      </w:r>
    </w:p>
    <w:p w14:paraId="0DBFB80A" w14:textId="6DFE95FF" w:rsidR="007A66C0" w:rsidRDefault="000852E7" w:rsidP="000852E7">
      <w:pPr>
        <w:pStyle w:val="Heading2"/>
      </w:pPr>
      <w:r>
        <w:t>Impact to Connection Control</w:t>
      </w:r>
      <w:r w:rsidR="007A66C0">
        <w:t xml:space="preserve"> </w:t>
      </w:r>
    </w:p>
    <w:p w14:paraId="0F040F75" w14:textId="3F7B6F0E" w:rsidR="007A66C0" w:rsidRDefault="00E85ECF" w:rsidP="003261A7">
      <w:pPr>
        <w:pStyle w:val="B1"/>
        <w:ind w:left="0" w:firstLine="0"/>
      </w:pPr>
      <w:r>
        <w:t>It is specified [3] that NG RAN needs to provide CAG identifier to the AMF:</w:t>
      </w:r>
    </w:p>
    <w:p w14:paraId="767D657F" w14:textId="77777777" w:rsidR="000852E7" w:rsidRPr="00E50DCA" w:rsidRDefault="000852E7" w:rsidP="000852E7">
      <w:pPr>
        <w:pStyle w:val="B1"/>
      </w:pPr>
      <w:r w:rsidRPr="00E50DCA">
        <w:t>-</w:t>
      </w:r>
      <w:r w:rsidRPr="00E50DCA">
        <w:tab/>
        <w:t>During transition from CM-IDLE to CM-CONNECTED, if the UE is accessing the 5GS via a CAG cell, the NG-RAN shall provide the CAG Identifier to the AMF:</w:t>
      </w:r>
    </w:p>
    <w:p w14:paraId="32067E40" w14:textId="66DBF0A0" w:rsidR="00E85ECF" w:rsidRDefault="00E85ECF" w:rsidP="003261A7">
      <w:pPr>
        <w:pStyle w:val="B1"/>
        <w:ind w:left="0" w:firstLine="0"/>
      </w:pPr>
      <w:r>
        <w:t>This is to allow the AMF to verify whether the UE is allowed to use a CAG supported by the CAG cell for the selected PLMN as follow:</w:t>
      </w:r>
    </w:p>
    <w:p w14:paraId="23B7E252" w14:textId="77777777" w:rsidR="00E85ECF" w:rsidRPr="00E50DCA" w:rsidRDefault="00E85ECF" w:rsidP="00E85ECF">
      <w:pPr>
        <w:pStyle w:val="B2"/>
      </w:pPr>
      <w:r w:rsidRPr="00E50DCA">
        <w:t>The AMF shall verify whether the CAG Identifier received from the NG-RAN is part of the UE's Allowed CAG list as received from the UDM:</w:t>
      </w:r>
    </w:p>
    <w:p w14:paraId="60721F5B" w14:textId="77777777" w:rsidR="00E85ECF" w:rsidRPr="00E50DCA" w:rsidRDefault="00E85ECF" w:rsidP="00E85ECF">
      <w:pPr>
        <w:pStyle w:val="B3"/>
      </w:pPr>
      <w:r w:rsidRPr="00E50DCA">
        <w:t>-</w:t>
      </w:r>
      <w:r w:rsidRPr="00E50DCA">
        <w:tab/>
        <w:t>If the CAG Identifier received from the NG-RAN is part of the UE's Allowed CAG list, then the AMF accepts the NAS request;</w:t>
      </w:r>
    </w:p>
    <w:p w14:paraId="1529CF69" w14:textId="77777777" w:rsidR="00E85ECF" w:rsidRPr="00E50DCA" w:rsidRDefault="00E85ECF" w:rsidP="00E85ECF">
      <w:pPr>
        <w:pStyle w:val="B3"/>
      </w:pPr>
      <w:r w:rsidRPr="00E50DCA">
        <w:t>-</w:t>
      </w:r>
      <w:r w:rsidRPr="00E50DCA">
        <w:tab/>
        <w:t>If the CAG Identifier received from the NG-RAN is not part of the UE's Allowed CAG list, then the AMF rejects the NAS request with an appropriate cause code as defined in TS 24.501[47];</w:t>
      </w:r>
    </w:p>
    <w:p w14:paraId="1EAB0757" w14:textId="3B9B9E9A" w:rsidR="00E85ECF" w:rsidRDefault="00E85ECF" w:rsidP="003261A7">
      <w:pPr>
        <w:pStyle w:val="B1"/>
        <w:ind w:left="0" w:firstLine="0"/>
      </w:pPr>
      <w:r>
        <w:rPr>
          <w:lang w:val="en-GB"/>
        </w:rPr>
        <w:t xml:space="preserve">From the RAN2 perspective, either CAG identifier is provided via the </w:t>
      </w:r>
      <w:r>
        <w:t>LTE RRC Connection Setup Complete/NR RRC Setup Complete message and the NG RAN provides this to AMF or the NG RAN provides the CAG ID/list of CAG IDs (FFS) based on the selected PLMN in the LTE RRC Connection Setup Complete/NR RRC Setup Complete message. The latter approach seem to be better from RAN2 perspective as it saves on additional RRC signaling overhead.</w:t>
      </w:r>
    </w:p>
    <w:p w14:paraId="5BD9DE9E" w14:textId="2210756D" w:rsidR="00E85ECF" w:rsidRDefault="000B0E1F" w:rsidP="003261A7">
      <w:pPr>
        <w:pStyle w:val="B1"/>
        <w:ind w:left="0" w:firstLine="0"/>
      </w:pPr>
      <w:r>
        <w:rPr>
          <w:b/>
        </w:rPr>
        <w:t>Observation</w:t>
      </w:r>
      <w:r w:rsidR="00E85ECF" w:rsidRPr="00E85ECF">
        <w:rPr>
          <w:b/>
        </w:rPr>
        <w:t>#7:</w:t>
      </w:r>
      <w:r w:rsidR="00E85ECF">
        <w:t xml:space="preserve"> The CAG ID provided by NG RAN to AMF is derived by the NG RAN from the selectedPLMN-Identity in the LTE RRC Connection Setup Complete/NR RRC Setup Complete message.</w:t>
      </w:r>
    </w:p>
    <w:p w14:paraId="295F7B10" w14:textId="553AD415" w:rsidR="00AD25BA" w:rsidRDefault="00AD25BA" w:rsidP="003261A7">
      <w:pPr>
        <w:pStyle w:val="B1"/>
        <w:ind w:left="0" w:firstLine="0"/>
      </w:pPr>
      <w:r>
        <w:t>Likewise the same can be applied to resume procedure.</w:t>
      </w:r>
    </w:p>
    <w:p w14:paraId="622674C5" w14:textId="1807323B" w:rsidR="00A127E6" w:rsidRDefault="002961A3" w:rsidP="002961A3">
      <w:pPr>
        <w:pStyle w:val="Heading2"/>
        <w:rPr>
          <w:lang w:val="en-US"/>
        </w:rPr>
      </w:pPr>
      <w:r>
        <w:rPr>
          <w:lang w:val="en-US"/>
        </w:rPr>
        <w:t xml:space="preserve">Impact on </w:t>
      </w:r>
      <w:r w:rsidR="000852E7">
        <w:rPr>
          <w:lang w:val="en-US"/>
        </w:rPr>
        <w:t>RRC Connected mobility</w:t>
      </w:r>
    </w:p>
    <w:p w14:paraId="7B15A82E" w14:textId="666A5EC5" w:rsidR="00A2578B" w:rsidRDefault="00AD25BA" w:rsidP="00BD5C90">
      <w:r>
        <w:t>As specified in [3], the AMF provides the NG RAN with Mobility Restrictions:</w:t>
      </w:r>
    </w:p>
    <w:p w14:paraId="700332B2" w14:textId="567900D3" w:rsidR="003E4E83" w:rsidRDefault="003E4E83" w:rsidP="00AD25BA">
      <w:pPr>
        <w:ind w:left="284"/>
        <w:rPr>
          <w:lang w:val="en-US"/>
        </w:rPr>
      </w:pPr>
      <w:r w:rsidRPr="00E50DCA">
        <w:rPr>
          <w:lang w:val="en-US"/>
        </w:rPr>
        <w:t>The Mobility Restrictions, the AMF provides to NG-RAN, shall be able to restrict the UE</w:t>
      </w:r>
      <w:r w:rsidR="00AD25BA">
        <w:rPr>
          <w:lang w:val="en-US"/>
        </w:rPr>
        <w:t>’</w:t>
      </w:r>
      <w:r w:rsidRPr="00E50DCA">
        <w:rPr>
          <w:lang w:val="en-US"/>
        </w:rPr>
        <w:t>s mobility according to the Allowed CAG list (if configured in the subscription) and including support a UE that is only allowed to access CAG cells (if configured in the subscription).</w:t>
      </w:r>
    </w:p>
    <w:p w14:paraId="25F5976A" w14:textId="0BB714FC" w:rsidR="003E4E83" w:rsidRDefault="00AD25BA" w:rsidP="00BD5C90">
      <w:pPr>
        <w:rPr>
          <w:lang w:val="en-US"/>
        </w:rPr>
      </w:pPr>
      <w:r>
        <w:rPr>
          <w:lang w:val="en-US"/>
        </w:rPr>
        <w:t>Based on this, the NG RAN can decide the following handover is allowed:</w:t>
      </w:r>
    </w:p>
    <w:p w14:paraId="6AE236B7" w14:textId="77777777" w:rsidR="003E4E83" w:rsidRPr="00E50DCA" w:rsidRDefault="003E4E83" w:rsidP="003E4E83">
      <w:pPr>
        <w:pStyle w:val="B3"/>
      </w:pPr>
      <w:r w:rsidRPr="00E50DCA">
        <w:t>-</w:t>
      </w:r>
      <w:r w:rsidRPr="00E50DCA">
        <w:tab/>
        <w:t>Source NG-RAN shall not handover the UE to a target NG-RAN node if the target is a CAG cell and the related CAG Identifier is not part of the UE's Allowed CAG list;</w:t>
      </w:r>
    </w:p>
    <w:p w14:paraId="035A0BD0" w14:textId="77777777" w:rsidR="003E4E83" w:rsidRPr="00E50DCA" w:rsidRDefault="003E4E83" w:rsidP="003E4E83">
      <w:pPr>
        <w:pStyle w:val="B3"/>
      </w:pPr>
      <w:r w:rsidRPr="00E50DCA">
        <w:t>-</w:t>
      </w:r>
      <w:r w:rsidRPr="00E50DCA">
        <w:tab/>
        <w:t>Source NG-RAN shall not handover the UE to a non-CAG cell if the UE is only allowed to access CAG cells;</w:t>
      </w:r>
    </w:p>
    <w:p w14:paraId="12C02107" w14:textId="3F634C26" w:rsidR="00AD25BA" w:rsidRDefault="00AD25BA" w:rsidP="00BD5C90">
      <w:r>
        <w:t>The former restriction is to prevent a CAG supporting UE from handover to a CAG cell related to a CAG Identifier that it is not subscribed to. This may require network knowing whether a cell is CAG and the supported CAG ID per PLMN, particular where the CAG cell with different CAG ID shared the same frequency.  This can be achieved by implementation methods e.g. PCI partitioning (separating CAG and non-CAG in shared frequency case, separating CAG with different CAG ID and PLMN ID)</w:t>
      </w:r>
      <w:r w:rsidR="00697EB9">
        <w:t xml:space="preserve"> or via OAM</w:t>
      </w:r>
      <w:r>
        <w:t xml:space="preserve">. Alternatively, </w:t>
      </w:r>
      <w:r w:rsidR="00697EB9">
        <w:t>ANR can be used or network can request</w:t>
      </w:r>
      <w:r>
        <w:t xml:space="preserve"> UE to provide the CAG ID of the reported cell. This can be done via existing CGI reporting</w:t>
      </w:r>
      <w:r w:rsidR="00697EB9">
        <w:t xml:space="preserve"> framework</w:t>
      </w:r>
      <w:r>
        <w:t>.</w:t>
      </w:r>
    </w:p>
    <w:p w14:paraId="2BB1A43F" w14:textId="77FC0181" w:rsidR="00AD25BA" w:rsidRDefault="00AD25BA" w:rsidP="00BD5C90">
      <w:r w:rsidRPr="00AD25BA">
        <w:rPr>
          <w:b/>
        </w:rPr>
        <w:lastRenderedPageBreak/>
        <w:t>Observation#</w:t>
      </w:r>
      <w:r w:rsidR="000B0E1F">
        <w:rPr>
          <w:b/>
        </w:rPr>
        <w:t>8</w:t>
      </w:r>
      <w:r w:rsidRPr="00AD25BA">
        <w:rPr>
          <w:b/>
        </w:rPr>
        <w:t>:</w:t>
      </w:r>
      <w:r>
        <w:t xml:space="preserve"> To prevent UE handover to target CAG cell related to CAG Identifier not part of UE’s allowed CAG list, the network needs to know whether the UE reported cell is related to a CAG Identifier is part of the UE’s Allowed CAG list, particularly when the CAG cells share the same frequency. This can be done either vi</w:t>
      </w:r>
      <w:r w:rsidR="00697EB9">
        <w:t xml:space="preserve">a </w:t>
      </w:r>
      <w:r>
        <w:t>network implementation (e.g. PCI partitioning</w:t>
      </w:r>
      <w:r w:rsidR="00697EB9">
        <w:t>, OAM</w:t>
      </w:r>
      <w:r>
        <w:t>) or</w:t>
      </w:r>
      <w:r w:rsidR="00697EB9">
        <w:t xml:space="preserve"> via existing CGI reporting framework to report the reported CAG cell.</w:t>
      </w:r>
    </w:p>
    <w:p w14:paraId="6231B2BE" w14:textId="08F94CC9" w:rsidR="00697EB9" w:rsidRDefault="00AD25BA" w:rsidP="00BD5C90">
      <w:r>
        <w:t xml:space="preserve">The latter restriction is to </w:t>
      </w:r>
      <w:r w:rsidR="00697EB9">
        <w:t>prevent CAG supporting UE from</w:t>
      </w:r>
      <w:r>
        <w:t xml:space="preserve"> handover to a non-CAG cell</w:t>
      </w:r>
      <w:r w:rsidR="00697EB9">
        <w:t xml:space="preserve"> if it is only subscribed to use CAG cell</w:t>
      </w:r>
      <w:r>
        <w:t xml:space="preserve">. </w:t>
      </w:r>
      <w:r w:rsidR="00697EB9">
        <w:t>Again, this may require network knowing whether a cell is CAG or non-CAG and the Observation#2 are also applicable here. Furthermore some optimisation can be made here to reduce:</w:t>
      </w:r>
    </w:p>
    <w:p w14:paraId="6E50EC99" w14:textId="6FC2CEA4" w:rsidR="00697EB9" w:rsidRDefault="00697EB9" w:rsidP="00697EB9">
      <w:pPr>
        <w:pStyle w:val="CommentText"/>
        <w:numPr>
          <w:ilvl w:val="0"/>
          <w:numId w:val="37"/>
        </w:numPr>
        <w:spacing w:after="180"/>
        <w:jc w:val="left"/>
      </w:pPr>
      <w:r>
        <w:t>Unnecessary measurement for UE affecting power consumption</w:t>
      </w:r>
    </w:p>
    <w:p w14:paraId="3191A9A3" w14:textId="61EBA10C" w:rsidR="00697EB9" w:rsidRDefault="00697EB9" w:rsidP="00697EB9">
      <w:pPr>
        <w:pStyle w:val="CommentText"/>
        <w:numPr>
          <w:ilvl w:val="0"/>
          <w:numId w:val="37"/>
        </w:numPr>
        <w:spacing w:after="180"/>
        <w:jc w:val="left"/>
      </w:pPr>
      <w:r>
        <w:t xml:space="preserve"> Unnecessary signalling overhead due to reporting cells that cannot be handover</w:t>
      </w:r>
    </w:p>
    <w:p w14:paraId="5D9EDADF" w14:textId="4303B244" w:rsidR="00697EB9" w:rsidRDefault="00697EB9" w:rsidP="00697EB9">
      <w:pPr>
        <w:pStyle w:val="CommentText"/>
      </w:pPr>
      <w:r>
        <w:t>For UE that can only access CAG cells and if same frequency can contain both CAG cells and non-CAG cells, it would be beneficial to provide a whitelisting of cell where the UE should measure</w:t>
      </w:r>
    </w:p>
    <w:p w14:paraId="1B9EC054" w14:textId="7E6FC832" w:rsidR="00697EB9" w:rsidRDefault="00697EB9" w:rsidP="00697EB9">
      <w:pPr>
        <w:pStyle w:val="CommentText"/>
      </w:pPr>
      <w:r>
        <w:t>For UE that can only access non-CAG cells</w:t>
      </w:r>
      <w:r w:rsidRPr="00697EB9">
        <w:t xml:space="preserve"> </w:t>
      </w:r>
      <w:r>
        <w:t>and if same frequency can contain both CAG cells and non-CAG cells, it would be beneficial to provide a blacklisting of cell where the UE should not measure.</w:t>
      </w:r>
    </w:p>
    <w:p w14:paraId="21602266" w14:textId="76B49816" w:rsidR="00697EB9" w:rsidRDefault="00697EB9" w:rsidP="00697EB9">
      <w:pPr>
        <w:pStyle w:val="CommentText"/>
      </w:pPr>
      <w:r>
        <w:t>Both of these are already available to be used.</w:t>
      </w:r>
    </w:p>
    <w:p w14:paraId="093B8938" w14:textId="18391CD9" w:rsidR="00697EB9" w:rsidRDefault="000B0E1F" w:rsidP="00697EB9">
      <w:pPr>
        <w:pStyle w:val="CommentText"/>
      </w:pPr>
      <w:r>
        <w:rPr>
          <w:b/>
        </w:rPr>
        <w:t>Observation#9</w:t>
      </w:r>
      <w:r w:rsidR="00697EB9" w:rsidRPr="00697EB9">
        <w:rPr>
          <w:b/>
        </w:rPr>
        <w:t>:</w:t>
      </w:r>
      <w:r w:rsidR="00697EB9">
        <w:t xml:space="preserve"> For RRC Connected mobility, the existing whitelisting and blacklisting of cells can be used to reduce unnecessary measurement effort and signalling overhead for CAG supporting UE and non-CAG supporting UE.</w:t>
      </w:r>
    </w:p>
    <w:p w14:paraId="65522439" w14:textId="714CD1F9" w:rsidR="000B0E1F" w:rsidRDefault="000B0E1F" w:rsidP="00697EB9">
      <w:pPr>
        <w:pStyle w:val="CommentText"/>
      </w:pPr>
      <w:r>
        <w:t xml:space="preserve">In LTE CSG, we also introduce the proximity indication for inbound handover to CSG cell. The concept is when the Connected mode UE finds that it is in its CSG areas, it will indicate to the network that it is in proximity and the network can request the UE to provide the CSG ID of the reported cell to the network for the network to decide whether it can handover the UE to the reported CSG cell. Such enhancement can be discussed further for NR. If NG RAN is eLTE, such functionality can be just extended to CAG. </w:t>
      </w:r>
    </w:p>
    <w:p w14:paraId="3DD58614" w14:textId="6256A3B3" w:rsidR="000B0E1F" w:rsidRDefault="000B0E1F" w:rsidP="00697EB9">
      <w:pPr>
        <w:pStyle w:val="CommentText"/>
      </w:pPr>
      <w:r>
        <w:rPr>
          <w:b/>
        </w:rPr>
        <w:t>Observation#10</w:t>
      </w:r>
      <w:r w:rsidRPr="00697EB9">
        <w:rPr>
          <w:b/>
        </w:rPr>
        <w:t>:</w:t>
      </w:r>
      <w:r>
        <w:rPr>
          <w:b/>
        </w:rPr>
        <w:t xml:space="preserve"> </w:t>
      </w:r>
      <w:r w:rsidRPr="000B0E1F">
        <w:t xml:space="preserve">Whether to introduce proximity indication for CAG can be further discuss. </w:t>
      </w:r>
    </w:p>
    <w:p w14:paraId="1F034D0E" w14:textId="77777777" w:rsidR="001B28C6" w:rsidRDefault="001B28C6" w:rsidP="001B28C6">
      <w:pPr>
        <w:pStyle w:val="Heading2"/>
      </w:pPr>
      <w:r>
        <w:t>Other possible impacts</w:t>
      </w:r>
    </w:p>
    <w:p w14:paraId="5CAFD405" w14:textId="72A72CDB" w:rsidR="001B28C6" w:rsidRDefault="001B28C6" w:rsidP="001B28C6">
      <w:r>
        <w:t>There may be other impacts which are not mentioned in the SA2 CR.  Since for CAG cell carried PLMNID together with CAGID, some extensions to the ASN.1 signalling and/or further clarifications on the field description is probably also foreseen for the following functions:</w:t>
      </w:r>
    </w:p>
    <w:p w14:paraId="6065BE06" w14:textId="21FFD8A0" w:rsidR="001B28C6" w:rsidRDefault="001B28C6" w:rsidP="001B28C6">
      <w:pPr>
        <w:pStyle w:val="ListParagraph"/>
        <w:numPr>
          <w:ilvl w:val="0"/>
          <w:numId w:val="40"/>
        </w:numPr>
      </w:pPr>
      <w:r>
        <w:t>UAC where currently the UAC barring configuration is just based on PLMN index indexing the PLMN list in SIB1.</w:t>
      </w:r>
      <w:r w:rsidR="005A4B9F">
        <w:t xml:space="preserve"> If list of CAGIDs per PLMN is possible, further extension is probably needed.</w:t>
      </w:r>
    </w:p>
    <w:p w14:paraId="3A37CFD6" w14:textId="0EC78AA3" w:rsidR="001B28C6" w:rsidRDefault="001B28C6" w:rsidP="001B28C6">
      <w:pPr>
        <w:pStyle w:val="ListParagraph"/>
        <w:numPr>
          <w:ilvl w:val="0"/>
          <w:numId w:val="40"/>
        </w:numPr>
      </w:pPr>
      <w:r>
        <w:t>ANR reporting may need to include not only the PLMN ID but also the corresponding CAGIDs for CAG cell.</w:t>
      </w:r>
    </w:p>
    <w:p w14:paraId="0A2D0E8D" w14:textId="036C6693" w:rsidR="001B28C6" w:rsidRDefault="001B28C6" w:rsidP="001B28C6">
      <w:r>
        <w:t xml:space="preserve">Also, RAN2 may also need to discuss whether </w:t>
      </w:r>
      <w:r w:rsidR="005A4B9F">
        <w:t>CAG</w:t>
      </w:r>
      <w:r>
        <w:t xml:space="preserve"> cell can be used as acceptable cell for emergency call.</w:t>
      </w:r>
    </w:p>
    <w:p w14:paraId="7D93E779" w14:textId="77CF746A" w:rsidR="001B28C6" w:rsidRPr="002F7CAB" w:rsidRDefault="005A4B9F" w:rsidP="001B28C6">
      <w:r>
        <w:rPr>
          <w:b/>
        </w:rPr>
        <w:t>Observation#11</w:t>
      </w:r>
      <w:r w:rsidR="001B28C6" w:rsidRPr="009622EF">
        <w:rPr>
          <w:b/>
        </w:rPr>
        <w:t>:</w:t>
      </w:r>
      <w:r w:rsidR="001B28C6">
        <w:t xml:space="preserve"> Some other foreseeable RAN2 impact not including in the SA2 CR may be the extension of ASN.1 signalling and field descriptions for UAC and ANR, as well as discuss the use of </w:t>
      </w:r>
      <w:r>
        <w:t>CAG</w:t>
      </w:r>
      <w:r w:rsidR="001B28C6">
        <w:t xml:space="preserve"> cell as acceptable cell for emergency call.</w:t>
      </w: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6F1067EF" w:rsidR="002215C1" w:rsidRDefault="002215C1" w:rsidP="002215C1">
      <w:r>
        <w:t>In this contribution,</w:t>
      </w:r>
      <w:r w:rsidRPr="005148A8">
        <w:t xml:space="preserve"> </w:t>
      </w:r>
      <w:r>
        <w:t xml:space="preserve">we discussed </w:t>
      </w:r>
      <w:r w:rsidR="006F1E68">
        <w:t>wideband operation for NR-U</w:t>
      </w:r>
      <w:r w:rsidR="003C0E28">
        <w:t xml:space="preserve"> and</w:t>
      </w:r>
      <w:r>
        <w:t xml:space="preserve"> we derived the following proposals:</w:t>
      </w:r>
    </w:p>
    <w:p w14:paraId="3D3B9941" w14:textId="5C44DB73" w:rsidR="009C1224" w:rsidRPr="009C1224" w:rsidRDefault="009C1224" w:rsidP="002215C1">
      <w:pPr>
        <w:rPr>
          <w:b/>
          <w:u w:val="single"/>
        </w:rPr>
      </w:pPr>
      <w:r w:rsidRPr="009C1224">
        <w:rPr>
          <w:b/>
          <w:u w:val="single"/>
        </w:rPr>
        <w:t>Network Identification impact:</w:t>
      </w:r>
    </w:p>
    <w:p w14:paraId="60A394A6" w14:textId="7E8A9CA3" w:rsidR="000B0E1F" w:rsidRDefault="000B0E1F" w:rsidP="000B0E1F">
      <w:pPr>
        <w:pStyle w:val="B1"/>
        <w:ind w:left="0" w:firstLine="0"/>
      </w:pPr>
      <w:r>
        <w:rPr>
          <w:b/>
        </w:rPr>
        <w:t xml:space="preserve">Observation#1: </w:t>
      </w:r>
      <w:r w:rsidRPr="000B0E1F">
        <w:t>Update the SIB (either in SIB1 or new SIB) to include the CAG identifier per PLMN and also the human-readable network name.</w:t>
      </w:r>
      <w:r>
        <w:t xml:space="preserve"> It is the same as how the CSG is broadcast</w:t>
      </w:r>
    </w:p>
    <w:p w14:paraId="68D569B6" w14:textId="0BE99000" w:rsidR="009C1224" w:rsidRPr="009C1224" w:rsidRDefault="009C1224" w:rsidP="009C1224">
      <w:pPr>
        <w:rPr>
          <w:b/>
          <w:u w:val="single"/>
        </w:rPr>
      </w:pPr>
      <w:r w:rsidRPr="009C1224">
        <w:rPr>
          <w:b/>
          <w:u w:val="single"/>
        </w:rPr>
        <w:t xml:space="preserve">Network </w:t>
      </w:r>
      <w:r w:rsidR="00697EB9">
        <w:rPr>
          <w:b/>
          <w:u w:val="single"/>
        </w:rPr>
        <w:t xml:space="preserve">and cell </w:t>
      </w:r>
      <w:r w:rsidRPr="009C1224">
        <w:rPr>
          <w:b/>
          <w:u w:val="single"/>
        </w:rPr>
        <w:t>Selection impact:</w:t>
      </w:r>
    </w:p>
    <w:p w14:paraId="3B9E3F0B" w14:textId="14FF6BE3" w:rsidR="00697EB9" w:rsidRDefault="000B0E1F" w:rsidP="00697EB9">
      <w:pPr>
        <w:pStyle w:val="B1"/>
        <w:ind w:left="0" w:firstLine="0"/>
      </w:pPr>
      <w:r>
        <w:rPr>
          <w:b/>
        </w:rPr>
        <w:t>Observation#2</w:t>
      </w:r>
      <w:r w:rsidR="00697EB9" w:rsidRPr="001F136B">
        <w:rPr>
          <w:b/>
        </w:rPr>
        <w:t>:</w:t>
      </w:r>
      <w:r w:rsidR="00697EB9">
        <w:t xml:space="preserve"> For network selection, the UE AS has to provide the following information to UE NAS upon reading the SIB during network selection in addition to the PLMN IDs:</w:t>
      </w:r>
    </w:p>
    <w:p w14:paraId="40E5569F" w14:textId="77777777" w:rsidR="00697EB9" w:rsidRDefault="00697EB9" w:rsidP="00697EB9">
      <w:pPr>
        <w:pStyle w:val="B1"/>
        <w:numPr>
          <w:ilvl w:val="0"/>
          <w:numId w:val="39"/>
        </w:numPr>
      </w:pPr>
      <w:r>
        <w:t>CAG ID per PLMN (list of CAG ID per PLMN is still FFS)</w:t>
      </w:r>
    </w:p>
    <w:p w14:paraId="3938F27F" w14:textId="77777777" w:rsidR="00697EB9" w:rsidRDefault="00697EB9" w:rsidP="00697EB9">
      <w:pPr>
        <w:pStyle w:val="B1"/>
        <w:numPr>
          <w:ilvl w:val="0"/>
          <w:numId w:val="39"/>
        </w:numPr>
      </w:pPr>
      <w:r>
        <w:t>Human readable names per CAG ID (if available)</w:t>
      </w:r>
    </w:p>
    <w:p w14:paraId="1BD9E97D" w14:textId="1C223268" w:rsidR="000B0E1F" w:rsidRDefault="000B0E1F" w:rsidP="000B0E1F">
      <w:pPr>
        <w:pStyle w:val="B1"/>
        <w:ind w:left="0" w:firstLine="0"/>
      </w:pPr>
      <w:r>
        <w:rPr>
          <w:b/>
        </w:rPr>
        <w:lastRenderedPageBreak/>
        <w:t>Observation#3</w:t>
      </w:r>
      <w:r w:rsidRPr="000777A3">
        <w:rPr>
          <w:b/>
        </w:rPr>
        <w:t>:</w:t>
      </w:r>
      <w:r>
        <w:t xml:space="preserve"> For cell selection to a CAG cell, the UE AS is provided with PLMN ID and CAG ID</w:t>
      </w:r>
      <w:r w:rsidR="00CE0BED">
        <w:t xml:space="preserve"> by the UE NAS. This is</w:t>
      </w:r>
      <w:r>
        <w:t xml:space="preserve"> similar to how CSG works</w:t>
      </w:r>
      <w:r w:rsidR="00CE0BED">
        <w:t xml:space="preserve"> for manual selection</w:t>
      </w:r>
      <w:r>
        <w:t>.</w:t>
      </w:r>
    </w:p>
    <w:p w14:paraId="69979A1F" w14:textId="77777777" w:rsidR="000B0E1F" w:rsidRDefault="000B0E1F" w:rsidP="000B0E1F">
      <w:pPr>
        <w:pStyle w:val="B1"/>
        <w:ind w:left="0" w:firstLine="0"/>
        <w:rPr>
          <w:lang w:val="en-GB"/>
        </w:rPr>
      </w:pPr>
      <w:r>
        <w:rPr>
          <w:b/>
          <w:lang w:val="en-GB"/>
        </w:rPr>
        <w:t>Observation#4</w:t>
      </w:r>
      <w:r w:rsidRPr="00CD5699">
        <w:rPr>
          <w:b/>
          <w:lang w:val="en-GB"/>
        </w:rPr>
        <w:t>:</w:t>
      </w:r>
      <w:r>
        <w:rPr>
          <w:lang w:val="en-GB"/>
        </w:rPr>
        <w:t xml:space="preserve"> Include the checking of the CAG ID as part of the cell suitability during cell (re)selection. This is the same as LTE CSG.</w:t>
      </w:r>
    </w:p>
    <w:p w14:paraId="45A3713C" w14:textId="0CD1EA6B" w:rsidR="000B0E1F" w:rsidRDefault="000B0E1F" w:rsidP="000B0E1F">
      <w:pPr>
        <w:pStyle w:val="B1"/>
        <w:ind w:left="0" w:firstLine="0"/>
        <w:rPr>
          <w:lang w:val="en-GB"/>
        </w:rPr>
      </w:pPr>
      <w:r>
        <w:rPr>
          <w:b/>
          <w:lang w:val="en-GB"/>
        </w:rPr>
        <w:t>Observation#5</w:t>
      </w:r>
      <w:r w:rsidRPr="00880851">
        <w:rPr>
          <w:b/>
          <w:lang w:val="en-GB"/>
        </w:rPr>
        <w:t>:</w:t>
      </w:r>
      <w:r>
        <w:rPr>
          <w:lang w:val="en-GB"/>
        </w:rPr>
        <w:t xml:space="preserve"> For unsuitable camping rule, only the CAG cell that are not suitable should bar and not other cells in the same frequency as in LTE CSG</w:t>
      </w:r>
    </w:p>
    <w:p w14:paraId="23316B9E" w14:textId="77777777" w:rsidR="000B0E1F" w:rsidRPr="00CE0AD8" w:rsidRDefault="000B0E1F" w:rsidP="000B0E1F">
      <w:r>
        <w:rPr>
          <w:b/>
        </w:rPr>
        <w:t>Observation#6</w:t>
      </w:r>
      <w:r w:rsidRPr="000E410B">
        <w:rPr>
          <w:b/>
        </w:rPr>
        <w:t>:</w:t>
      </w:r>
      <w:r>
        <w:t xml:space="preserve"> To prevent UEs not supporting CAG from accessing the cell, the forward compatible parameter </w:t>
      </w:r>
      <w:r w:rsidRPr="00A500E3">
        <w:rPr>
          <w:bCs/>
          <w:i/>
          <w:noProof/>
        </w:rPr>
        <w:t>cellReservedForOtherUse</w:t>
      </w:r>
      <w:r>
        <w:t xml:space="preserve"> can be used, thus no further impact.   </w:t>
      </w:r>
    </w:p>
    <w:p w14:paraId="7E4E4DD5" w14:textId="27F3CCB6" w:rsidR="009C1224" w:rsidRPr="009C1224" w:rsidRDefault="00697EB9" w:rsidP="009C1224">
      <w:pPr>
        <w:rPr>
          <w:b/>
          <w:u w:val="single"/>
          <w:lang w:val="en-US" w:eastAsia="x-none"/>
        </w:rPr>
      </w:pPr>
      <w:r>
        <w:rPr>
          <w:b/>
          <w:u w:val="single"/>
          <w:lang w:val="en-US" w:eastAsia="x-none"/>
        </w:rPr>
        <w:t>Connection Control</w:t>
      </w:r>
      <w:r w:rsidR="009C1224" w:rsidRPr="009C1224">
        <w:rPr>
          <w:b/>
          <w:u w:val="single"/>
          <w:lang w:val="en-US" w:eastAsia="x-none"/>
        </w:rPr>
        <w:t xml:space="preserve"> impact:</w:t>
      </w:r>
    </w:p>
    <w:p w14:paraId="5522CFFD" w14:textId="77777777" w:rsidR="000B0E1F" w:rsidRDefault="000B0E1F" w:rsidP="000B0E1F">
      <w:pPr>
        <w:pStyle w:val="B1"/>
        <w:ind w:left="0" w:firstLine="0"/>
      </w:pPr>
      <w:r>
        <w:rPr>
          <w:b/>
        </w:rPr>
        <w:t>Observation</w:t>
      </w:r>
      <w:r w:rsidRPr="00E85ECF">
        <w:rPr>
          <w:b/>
        </w:rPr>
        <w:t>#7:</w:t>
      </w:r>
      <w:r>
        <w:t xml:space="preserve"> The CAG ID provided by NG RAN to AMF is derived by the NG RAN from the selectedPLMN-Identity in the LTE RRC Connection Setup Complete/NR RRC Setup Complete message.</w:t>
      </w:r>
    </w:p>
    <w:p w14:paraId="038AB92B" w14:textId="65931646" w:rsidR="00697EB9" w:rsidRPr="00697EB9" w:rsidRDefault="00697EB9" w:rsidP="00697EB9">
      <w:pPr>
        <w:rPr>
          <w:b/>
          <w:u w:val="single"/>
          <w:lang w:val="en-US" w:eastAsia="x-none"/>
        </w:rPr>
      </w:pPr>
      <w:r w:rsidRPr="00697EB9">
        <w:rPr>
          <w:b/>
          <w:u w:val="single"/>
          <w:lang w:val="en-US"/>
        </w:rPr>
        <w:t>RRC Connected mobility</w:t>
      </w:r>
      <w:r w:rsidRPr="00697EB9">
        <w:rPr>
          <w:b/>
          <w:u w:val="single"/>
          <w:lang w:val="en-US" w:eastAsia="x-none"/>
        </w:rPr>
        <w:t xml:space="preserve"> impact:</w:t>
      </w:r>
    </w:p>
    <w:p w14:paraId="11F7DA7D" w14:textId="0C1B67A3" w:rsidR="00697EB9" w:rsidRDefault="000B0E1F" w:rsidP="00697EB9">
      <w:r>
        <w:rPr>
          <w:b/>
        </w:rPr>
        <w:t>Observation#8</w:t>
      </w:r>
      <w:r w:rsidR="00697EB9" w:rsidRPr="00AD25BA">
        <w:rPr>
          <w:b/>
        </w:rPr>
        <w:t>:</w:t>
      </w:r>
      <w:r w:rsidR="00697EB9">
        <w:t xml:space="preserve"> To prevent UE handover to target CAG cell related to CAG Identifier not part of UE’s allowed CAG list, the network needs to know whether the UE reported cell is related to a CAG Identifier is part of the UE’s Allowed CAG list, particularly when the CAG cells share the same frequency. This can be done either via network implementation (e.g. PCI partitioning, OAM) or via existing CGI reporting framework to report the reported CAG cell.</w:t>
      </w:r>
    </w:p>
    <w:p w14:paraId="120DE1EA" w14:textId="5C684F65" w:rsidR="00697EB9" w:rsidRDefault="000B0E1F" w:rsidP="00697EB9">
      <w:pPr>
        <w:pStyle w:val="CommentText"/>
      </w:pPr>
      <w:r>
        <w:rPr>
          <w:b/>
        </w:rPr>
        <w:t>Observation#9</w:t>
      </w:r>
      <w:r w:rsidR="00697EB9" w:rsidRPr="00697EB9">
        <w:rPr>
          <w:b/>
        </w:rPr>
        <w:t>:</w:t>
      </w:r>
      <w:r w:rsidR="00697EB9">
        <w:t xml:space="preserve"> For RRC Connected mobility, the existing whitelisting and blacklisting of cells can be used to reduce unnecessary measurement effort and signalling overhead for CAG supporting UE and non-CAG supporting UE.</w:t>
      </w:r>
    </w:p>
    <w:p w14:paraId="79B05A16" w14:textId="77777777" w:rsidR="000B0E1F" w:rsidRDefault="000B0E1F" w:rsidP="000B0E1F">
      <w:pPr>
        <w:pStyle w:val="CommentText"/>
      </w:pPr>
      <w:r>
        <w:rPr>
          <w:b/>
        </w:rPr>
        <w:t>Observation#10</w:t>
      </w:r>
      <w:r w:rsidRPr="00697EB9">
        <w:rPr>
          <w:b/>
        </w:rPr>
        <w:t>:</w:t>
      </w:r>
      <w:r>
        <w:rPr>
          <w:b/>
        </w:rPr>
        <w:t xml:space="preserve"> </w:t>
      </w:r>
      <w:r w:rsidRPr="000B0E1F">
        <w:t xml:space="preserve">Whether to introduce proximity indication for CAG can be further discuss. </w:t>
      </w:r>
    </w:p>
    <w:p w14:paraId="3A09520D" w14:textId="5C5F6ED0" w:rsidR="005A4B9F" w:rsidRPr="005A4B9F" w:rsidRDefault="005A4B9F" w:rsidP="005A4B9F">
      <w:pPr>
        <w:rPr>
          <w:b/>
          <w:u w:val="single"/>
        </w:rPr>
      </w:pPr>
      <w:r w:rsidRPr="005A4B9F">
        <w:rPr>
          <w:b/>
          <w:u w:val="single"/>
        </w:rPr>
        <w:t>Other possible impact:</w:t>
      </w:r>
    </w:p>
    <w:p w14:paraId="047348F9" w14:textId="77777777" w:rsidR="005A4B9F" w:rsidRPr="002F7CAB" w:rsidRDefault="005A4B9F" w:rsidP="005A4B9F">
      <w:r>
        <w:rPr>
          <w:b/>
        </w:rPr>
        <w:t>Observation#11</w:t>
      </w:r>
      <w:r w:rsidRPr="009622EF">
        <w:rPr>
          <w:b/>
        </w:rPr>
        <w:t>:</w:t>
      </w:r>
      <w:r>
        <w:t xml:space="preserve"> Some other foreseeable RAN2 impact not including in the SA2 CR may be the extension of ASN.1 signalling and field descriptions for UAC and ANR, as well as discuss the use of CAG cell as acceptable cell for emergency call.</w:t>
      </w:r>
    </w:p>
    <w:p w14:paraId="3CF66104" w14:textId="27CD6D89" w:rsidR="00CE0BED" w:rsidRDefault="00CE0BED" w:rsidP="00CE0BED">
      <w:r>
        <w:t>A summary of the RAN2 impact based on the SA2 CR</w:t>
      </w:r>
      <w:r w:rsidR="000B4699">
        <w:t xml:space="preserve"> [3</w:t>
      </w:r>
      <w:r>
        <w:t>] is as follow:</w:t>
      </w:r>
    </w:p>
    <w:tbl>
      <w:tblPr>
        <w:tblStyle w:val="TableGrid"/>
        <w:tblW w:w="0" w:type="auto"/>
        <w:tblLook w:val="04A0" w:firstRow="1" w:lastRow="0" w:firstColumn="1" w:lastColumn="0" w:noHBand="0" w:noVBand="1"/>
      </w:tblPr>
      <w:tblGrid>
        <w:gridCol w:w="3306"/>
        <w:gridCol w:w="3306"/>
        <w:gridCol w:w="3307"/>
      </w:tblGrid>
      <w:tr w:rsidR="00CE0BED" w14:paraId="1CCC002F" w14:textId="77777777" w:rsidTr="00A51572">
        <w:tc>
          <w:tcPr>
            <w:tcW w:w="3306" w:type="dxa"/>
          </w:tcPr>
          <w:p w14:paraId="52F4A893" w14:textId="77777777" w:rsidR="00CE0BED" w:rsidRDefault="00CE0BED" w:rsidP="00A51572">
            <w:r>
              <w:t>Impact Areas</w:t>
            </w:r>
          </w:p>
        </w:tc>
        <w:tc>
          <w:tcPr>
            <w:tcW w:w="3306" w:type="dxa"/>
          </w:tcPr>
          <w:p w14:paraId="0EF3EC3E" w14:textId="77777777" w:rsidR="00CE0BED" w:rsidRDefault="00CE0BED" w:rsidP="00A51572">
            <w:r>
              <w:t>RAN2 impact</w:t>
            </w:r>
          </w:p>
        </w:tc>
        <w:tc>
          <w:tcPr>
            <w:tcW w:w="3307" w:type="dxa"/>
          </w:tcPr>
          <w:p w14:paraId="3EBABC06" w14:textId="77777777" w:rsidR="00CE0BED" w:rsidRDefault="00CE0BED" w:rsidP="00A51572">
            <w:r>
              <w:t>Comments</w:t>
            </w:r>
          </w:p>
        </w:tc>
      </w:tr>
      <w:tr w:rsidR="00CE0BED" w14:paraId="1F9B357B" w14:textId="77777777" w:rsidTr="00A51572">
        <w:tc>
          <w:tcPr>
            <w:tcW w:w="3306" w:type="dxa"/>
          </w:tcPr>
          <w:p w14:paraId="592FC1EC" w14:textId="77777777" w:rsidR="00CE0BED" w:rsidRDefault="00CE0BED" w:rsidP="00A51572">
            <w:r>
              <w:t>Network identification</w:t>
            </w:r>
          </w:p>
        </w:tc>
        <w:tc>
          <w:tcPr>
            <w:tcW w:w="3306" w:type="dxa"/>
          </w:tcPr>
          <w:p w14:paraId="182F5314" w14:textId="16F75D5C" w:rsidR="00CE0BED" w:rsidRDefault="00CE0BED" w:rsidP="00A51572">
            <w:r>
              <w:t xml:space="preserve">Broadcast </w:t>
            </w:r>
            <w:r w:rsidRPr="000B0E1F">
              <w:t>CAG identifier per PLMN and also the human-readable network name</w:t>
            </w:r>
            <w:r>
              <w:t xml:space="preserve"> in SIB1</w:t>
            </w:r>
          </w:p>
        </w:tc>
        <w:tc>
          <w:tcPr>
            <w:tcW w:w="3307" w:type="dxa"/>
          </w:tcPr>
          <w:p w14:paraId="6A92DFA9" w14:textId="744646D4" w:rsidR="00CE0BED" w:rsidRDefault="00CE0BED" w:rsidP="00A51572">
            <w:r>
              <w:t>Small changes</w:t>
            </w:r>
            <w:r w:rsidR="000B4699">
              <w:t>. Similar to CSG</w:t>
            </w:r>
          </w:p>
        </w:tc>
      </w:tr>
      <w:tr w:rsidR="00CE0BED" w14:paraId="6831F800" w14:textId="77777777" w:rsidTr="00A51572">
        <w:tc>
          <w:tcPr>
            <w:tcW w:w="3306" w:type="dxa"/>
          </w:tcPr>
          <w:p w14:paraId="205F766B" w14:textId="1F5C7E34" w:rsidR="00CE0BED" w:rsidRDefault="00CE0BED" w:rsidP="00CE0BED">
            <w:r>
              <w:t>Network and cell (re)selection</w:t>
            </w:r>
          </w:p>
        </w:tc>
        <w:tc>
          <w:tcPr>
            <w:tcW w:w="3306" w:type="dxa"/>
          </w:tcPr>
          <w:p w14:paraId="094EAC55" w14:textId="38D1150E" w:rsidR="00CE0BED" w:rsidRDefault="00CE0BED" w:rsidP="00A51572">
            <w:r>
              <w:t xml:space="preserve">Provide </w:t>
            </w:r>
            <w:r w:rsidRPr="000B0E1F">
              <w:t>CAG identifier per PLMN and also the human-readable network name</w:t>
            </w:r>
            <w:r>
              <w:t xml:space="preserve"> to upper layer/NAS</w:t>
            </w:r>
          </w:p>
          <w:p w14:paraId="2A35FAF8" w14:textId="47242FD8" w:rsidR="00CE0BED" w:rsidRDefault="00CE0BED" w:rsidP="00A51572">
            <w:r>
              <w:t>Include the checking of the CAG ID as part of the cell suitability during cell (re)selection.</w:t>
            </w:r>
          </w:p>
        </w:tc>
        <w:tc>
          <w:tcPr>
            <w:tcW w:w="3307" w:type="dxa"/>
          </w:tcPr>
          <w:p w14:paraId="73E9B782" w14:textId="3627B1C9" w:rsidR="00CE0BED" w:rsidRDefault="00CE0BED" w:rsidP="00A51572">
            <w:r>
              <w:t>Small changes</w:t>
            </w:r>
            <w:r w:rsidR="000B4699">
              <w:t>, Similar to CSG</w:t>
            </w:r>
          </w:p>
        </w:tc>
      </w:tr>
      <w:tr w:rsidR="00CE0BED" w14:paraId="2B366B41" w14:textId="77777777" w:rsidTr="00A51572">
        <w:tc>
          <w:tcPr>
            <w:tcW w:w="3306" w:type="dxa"/>
          </w:tcPr>
          <w:p w14:paraId="600408EA" w14:textId="2B9DD61E" w:rsidR="00CE0BED" w:rsidRDefault="00CE0BED" w:rsidP="00A51572">
            <w:r>
              <w:t>Connection Control (</w:t>
            </w:r>
            <w:r w:rsidR="000B4699">
              <w:t>providing CAGID to AMF)</w:t>
            </w:r>
          </w:p>
        </w:tc>
        <w:tc>
          <w:tcPr>
            <w:tcW w:w="3306" w:type="dxa"/>
          </w:tcPr>
          <w:p w14:paraId="15D6EEF3" w14:textId="196AAF24" w:rsidR="00CE0BED" w:rsidRDefault="00CE0BED" w:rsidP="00A51572">
            <w:r>
              <w:t>No impact</w:t>
            </w:r>
            <w:r w:rsidR="000B4699">
              <w:t xml:space="preserve"> (can be based on the selectedPLMN-Identity)</w:t>
            </w:r>
          </w:p>
        </w:tc>
        <w:tc>
          <w:tcPr>
            <w:tcW w:w="3307" w:type="dxa"/>
          </w:tcPr>
          <w:p w14:paraId="71999001" w14:textId="6A1E4E0A" w:rsidR="00CE0BED" w:rsidRDefault="000B4699" w:rsidP="00A51572">
            <w:r>
              <w:t>No change</w:t>
            </w:r>
          </w:p>
        </w:tc>
      </w:tr>
      <w:tr w:rsidR="00CE0BED" w14:paraId="1B40695C" w14:textId="77777777" w:rsidTr="00A51572">
        <w:tc>
          <w:tcPr>
            <w:tcW w:w="3306" w:type="dxa"/>
          </w:tcPr>
          <w:p w14:paraId="61BD5DE0" w14:textId="77777777" w:rsidR="00CE0BED" w:rsidRDefault="00CE0BED" w:rsidP="00A51572">
            <w:r>
              <w:t>Connected mode mobility</w:t>
            </w:r>
          </w:p>
        </w:tc>
        <w:tc>
          <w:tcPr>
            <w:tcW w:w="3306" w:type="dxa"/>
          </w:tcPr>
          <w:p w14:paraId="38C73C3B" w14:textId="535E5FFB" w:rsidR="00CE0BED" w:rsidRDefault="00CE0BED" w:rsidP="00A51572">
            <w:r>
              <w:t>As per existing behaviour.</w:t>
            </w:r>
            <w:r w:rsidR="000B4699">
              <w:t xml:space="preserve"> FFS on whether proximity indication for CSG should be introduced to CAG.</w:t>
            </w:r>
          </w:p>
        </w:tc>
        <w:tc>
          <w:tcPr>
            <w:tcW w:w="3307" w:type="dxa"/>
          </w:tcPr>
          <w:p w14:paraId="4E5E85D0" w14:textId="4EDCDF41" w:rsidR="00CE0BED" w:rsidRDefault="000B4699" w:rsidP="00A51572">
            <w:r>
              <w:t>Small to medium changes (depends on whether proximity indication in CSG is to be supported for CAG)</w:t>
            </w:r>
          </w:p>
        </w:tc>
      </w:tr>
    </w:tbl>
    <w:p w14:paraId="55C32257" w14:textId="0EEFEA94" w:rsidR="005A4B9F" w:rsidRDefault="005A4B9F" w:rsidP="00697EB9">
      <w:pPr>
        <w:pStyle w:val="CommentText"/>
      </w:pPr>
      <w:r>
        <w:t xml:space="preserve">Other possible impacts as in </w:t>
      </w:r>
      <w:r w:rsidRPr="005A4B9F">
        <w:rPr>
          <w:b/>
        </w:rPr>
        <w:t>Observation#11</w:t>
      </w:r>
      <w:r>
        <w:t xml:space="preserve"> are foreseen to be small as well.</w:t>
      </w:r>
    </w:p>
    <w:p w14:paraId="363D57C8" w14:textId="77777777" w:rsidR="005A4B9F" w:rsidRDefault="005A4B9F" w:rsidP="00697EB9">
      <w:pPr>
        <w:pStyle w:val="CommentText"/>
      </w:pPr>
    </w:p>
    <w:p w14:paraId="0B93C5EA" w14:textId="4EB7E9DA" w:rsidR="000B0E1F" w:rsidRDefault="000B0E1F" w:rsidP="00697EB9">
      <w:pPr>
        <w:pStyle w:val="CommentText"/>
      </w:pPr>
      <w:r>
        <w:t xml:space="preserve">Based on above observations, </w:t>
      </w:r>
      <w:r w:rsidR="00C53DF0">
        <w:t xml:space="preserve">it can be seen that CAG approach can follow the CSG concept. But since SA2 work is still in progress, it is unclear whether CSG concept is sufficient. </w:t>
      </w:r>
      <w:r w:rsidR="004B7B46">
        <w:t>I</w:t>
      </w:r>
      <w:r>
        <w:t>t is proposed that:</w:t>
      </w:r>
    </w:p>
    <w:p w14:paraId="1C064E03" w14:textId="4F700302" w:rsidR="000B0E1F" w:rsidRDefault="004B7B46" w:rsidP="000B0E1F">
      <w:r w:rsidRPr="004B7B46">
        <w:rPr>
          <w:b/>
        </w:rPr>
        <w:t>Proposal#1:</w:t>
      </w:r>
      <w:r>
        <w:t xml:space="preserve"> </w:t>
      </w:r>
      <w:r w:rsidR="00C53DF0">
        <w:t>First d</w:t>
      </w:r>
      <w:r>
        <w:t xml:space="preserve">iscuss in RAN2 whether </w:t>
      </w:r>
      <w:r w:rsidR="00C53DF0">
        <w:t>LTE CSG concept is sufficient for CAG approach</w:t>
      </w:r>
      <w:r w:rsidR="000B0E1F" w:rsidRPr="00285AED">
        <w:rPr>
          <w:b/>
        </w:rPr>
        <w:t>Proposal#2:</w:t>
      </w:r>
      <w:r w:rsidR="000B0E1F">
        <w:t xml:space="preserve"> </w:t>
      </w:r>
      <w:r w:rsidR="00C53DF0">
        <w:t>If RAN2 conclude that LTE CSG concept is sufficient for CAG approach</w:t>
      </w:r>
      <w:r>
        <w:t>, i</w:t>
      </w:r>
      <w:r w:rsidR="000B0E1F">
        <w:t xml:space="preserve">nform RAN about the impact for Solution#2 (CAG approach) is similar to CSG concept and RAN can decide how to proceed </w:t>
      </w:r>
      <w:r w:rsidR="00C53DF0">
        <w:t xml:space="preserve">the work </w:t>
      </w:r>
      <w:r w:rsidR="000B0E1F">
        <w:t>in RAN2 (new WI, existing WI (e.g. IIoT) or as TEI16)</w:t>
      </w:r>
    </w:p>
    <w:p w14:paraId="42007256" w14:textId="60817EA4" w:rsidR="00C53DF0" w:rsidRDefault="00C53DF0" w:rsidP="000B0E1F"/>
    <w:p w14:paraId="568D0875" w14:textId="77777777" w:rsidR="00427643" w:rsidRDefault="00427643" w:rsidP="00697EB9">
      <w:pPr>
        <w:pStyle w:val="Heading1"/>
        <w:keepNext w:val="0"/>
        <w:widowControl w:val="0"/>
        <w:numPr>
          <w:ilvl w:val="0"/>
          <w:numId w:val="0"/>
        </w:numPr>
        <w:spacing w:before="480" w:after="120"/>
        <w:rPr>
          <w:sz w:val="28"/>
          <w:lang w:val="en-US"/>
        </w:rPr>
      </w:pPr>
      <w:r w:rsidRPr="0099619E">
        <w:rPr>
          <w:sz w:val="28"/>
          <w:lang w:val="en-US"/>
        </w:rPr>
        <w:t>References</w:t>
      </w:r>
    </w:p>
    <w:p w14:paraId="5BB1FA9C" w14:textId="07E907D5" w:rsidR="00B97E5E" w:rsidRDefault="00B97E5E" w:rsidP="00B97E5E">
      <w:pPr>
        <w:ind w:left="360"/>
      </w:pPr>
      <w:r w:rsidRPr="00D66649">
        <w:t xml:space="preserve">[1] </w:t>
      </w:r>
      <w:r w:rsidR="003105CC" w:rsidRPr="003105CC">
        <w:t>S2-1813393</w:t>
      </w:r>
      <w:r w:rsidR="003105CC">
        <w:t>, “</w:t>
      </w:r>
      <w:r w:rsidR="003105CC" w:rsidRPr="003105CC">
        <w:t>LS on RAN Impact analysis due to NPN</w:t>
      </w:r>
      <w:r w:rsidR="003105CC">
        <w:t>”, SA2</w:t>
      </w:r>
    </w:p>
    <w:p w14:paraId="74CC589D" w14:textId="5BD7EF4C" w:rsidR="00835855" w:rsidRDefault="00835855" w:rsidP="00835855">
      <w:pPr>
        <w:ind w:left="360"/>
      </w:pPr>
      <w:r w:rsidRPr="00835855">
        <w:t>[</w:t>
      </w:r>
      <w:r>
        <w:t>2</w:t>
      </w:r>
      <w:r w:rsidRPr="00835855">
        <w:t xml:space="preserve">] </w:t>
      </w:r>
      <w:r w:rsidR="003105CC" w:rsidRPr="003105CC">
        <w:t>S2-1901329</w:t>
      </w:r>
      <w:r w:rsidRPr="00B97E5E">
        <w:t xml:space="preserve">, </w:t>
      </w:r>
      <w:r>
        <w:t>“</w:t>
      </w:r>
      <w:r w:rsidR="005A4B9F">
        <w:fldChar w:fldCharType="begin"/>
      </w:r>
      <w:r w:rsidR="005A4B9F">
        <w:instrText xml:space="preserve"> DOCPROPERTY  CrTitle  \* MERGEFORMAT </w:instrText>
      </w:r>
      <w:r w:rsidR="005A4B9F">
        <w:fldChar w:fldCharType="separate"/>
      </w:r>
      <w:r w:rsidR="003105CC">
        <w:t>TS 23.501: Introducing Non-public network</w:t>
      </w:r>
      <w:r w:rsidR="005A4B9F">
        <w:fldChar w:fldCharType="end"/>
      </w:r>
      <w:r>
        <w:t xml:space="preserve">”, </w:t>
      </w:r>
      <w:r w:rsidR="003105CC">
        <w:rPr>
          <w:noProof/>
        </w:rPr>
        <w:fldChar w:fldCharType="begin"/>
      </w:r>
      <w:r w:rsidR="003105CC">
        <w:rPr>
          <w:noProof/>
        </w:rPr>
        <w:instrText xml:space="preserve"> DOCPROPERTY  SourceIfWg  \* MERGEFORMAT </w:instrText>
      </w:r>
      <w:r w:rsidR="003105CC">
        <w:rPr>
          <w:noProof/>
        </w:rPr>
        <w:fldChar w:fldCharType="separate"/>
      </w:r>
      <w:r w:rsidR="003105CC">
        <w:rPr>
          <w:noProof/>
        </w:rPr>
        <w:t>Qualcomm Incorporated</w:t>
      </w:r>
      <w:r w:rsidR="003105CC">
        <w:rPr>
          <w:noProof/>
        </w:rPr>
        <w:fldChar w:fldCharType="end"/>
      </w:r>
      <w:r w:rsidR="003105CC">
        <w:rPr>
          <w:noProof/>
        </w:rPr>
        <w:t xml:space="preserve"> et al</w:t>
      </w:r>
    </w:p>
    <w:p w14:paraId="300B679E" w14:textId="67B2DEAF" w:rsidR="00D66649" w:rsidRDefault="00D66649" w:rsidP="00D66649">
      <w:pPr>
        <w:ind w:left="360"/>
      </w:pPr>
      <w:r>
        <w:t xml:space="preserve">[3] </w:t>
      </w:r>
      <w:r w:rsidR="003105CC" w:rsidRPr="003105CC">
        <w:t>S2-1901391</w:t>
      </w:r>
      <w:r>
        <w:t>, “</w:t>
      </w:r>
      <w:r w:rsidR="003105CC" w:rsidRPr="003105CC">
        <w:t>Introducing support for Non-Public Networks</w:t>
      </w:r>
      <w:r w:rsidR="003105CC">
        <w:t>”, Ericsson et al</w:t>
      </w:r>
    </w:p>
    <w:p w14:paraId="5404419F" w14:textId="6C85B33E" w:rsidR="00442AB1" w:rsidRPr="00697EB9" w:rsidRDefault="002C72C9" w:rsidP="00697EB9">
      <w:pPr>
        <w:ind w:left="360"/>
      </w:pPr>
      <w:r>
        <w:t>[4] TS38.304, v15.2.0.</w:t>
      </w:r>
    </w:p>
    <w:sectPr w:rsidR="00442AB1" w:rsidRPr="00697EB9"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9708E" w14:textId="77777777" w:rsidR="00AB4117" w:rsidRDefault="00AB4117"/>
  </w:endnote>
  <w:endnote w:type="continuationSeparator" w:id="0">
    <w:p w14:paraId="5CAA71D1" w14:textId="77777777" w:rsidR="00AB4117" w:rsidRDefault="00AB4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54EEB" w14:textId="77777777" w:rsidR="00AB4117" w:rsidRDefault="00AB4117"/>
  </w:footnote>
  <w:footnote w:type="continuationSeparator" w:id="0">
    <w:p w14:paraId="1D7C40B1" w14:textId="77777777" w:rsidR="00AB4117" w:rsidRDefault="00AB411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404C4C"/>
    <w:multiLevelType w:val="hybridMultilevel"/>
    <w:tmpl w:val="7EF4D24A"/>
    <w:lvl w:ilvl="0" w:tplc="EE5CF8DA">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A903B4"/>
    <w:multiLevelType w:val="hybridMultilevel"/>
    <w:tmpl w:val="7EF4D24A"/>
    <w:lvl w:ilvl="0" w:tplc="EE5CF8DA">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A8446D"/>
    <w:multiLevelType w:val="hybridMultilevel"/>
    <w:tmpl w:val="7EF4D24A"/>
    <w:lvl w:ilvl="0" w:tplc="EE5CF8DA">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ED291A"/>
    <w:multiLevelType w:val="hybridMultilevel"/>
    <w:tmpl w:val="BC3E136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275841"/>
    <w:multiLevelType w:val="hybridMultilevel"/>
    <w:tmpl w:val="E0084D12"/>
    <w:lvl w:ilvl="0" w:tplc="EA789AA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6EBF"/>
    <w:multiLevelType w:val="hybridMultilevel"/>
    <w:tmpl w:val="4C5CECC4"/>
    <w:lvl w:ilvl="0" w:tplc="76701CC6">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266F5"/>
    <w:multiLevelType w:val="hybridMultilevel"/>
    <w:tmpl w:val="B776A8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E35C41"/>
    <w:multiLevelType w:val="hybridMultilevel"/>
    <w:tmpl w:val="ECA03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0B5AB8"/>
    <w:multiLevelType w:val="hybridMultilevel"/>
    <w:tmpl w:val="0FDA5C56"/>
    <w:lvl w:ilvl="0" w:tplc="76701CC6">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35"/>
  </w:num>
  <w:num w:numId="3">
    <w:abstractNumId w:val="9"/>
  </w:num>
  <w:num w:numId="4">
    <w:abstractNumId w:val="0"/>
  </w:num>
  <w:num w:numId="5">
    <w:abstractNumId w:val="26"/>
  </w:num>
  <w:num w:numId="6">
    <w:abstractNumId w:val="11"/>
  </w:num>
  <w:num w:numId="7">
    <w:abstractNumId w:val="16"/>
  </w:num>
  <w:num w:numId="8">
    <w:abstractNumId w:val="15"/>
  </w:num>
  <w:num w:numId="9">
    <w:abstractNumId w:val="13"/>
  </w:num>
  <w:num w:numId="10">
    <w:abstractNumId w:val="28"/>
  </w:num>
  <w:num w:numId="11">
    <w:abstractNumId w:val="5"/>
  </w:num>
  <w:num w:numId="12">
    <w:abstractNumId w:val="39"/>
  </w:num>
  <w:num w:numId="13">
    <w:abstractNumId w:val="14"/>
  </w:num>
  <w:num w:numId="14">
    <w:abstractNumId w:val="32"/>
  </w:num>
  <w:num w:numId="15">
    <w:abstractNumId w:val="29"/>
  </w:num>
  <w:num w:numId="16">
    <w:abstractNumId w:val="17"/>
  </w:num>
  <w:num w:numId="17">
    <w:abstractNumId w:val="18"/>
  </w:num>
  <w:num w:numId="18">
    <w:abstractNumId w:val="23"/>
  </w:num>
  <w:num w:numId="19">
    <w:abstractNumId w:val="30"/>
  </w:num>
  <w:num w:numId="20">
    <w:abstractNumId w:val="10"/>
  </w:num>
  <w:num w:numId="21">
    <w:abstractNumId w:val="24"/>
  </w:num>
  <w:num w:numId="22">
    <w:abstractNumId w:val="22"/>
  </w:num>
  <w:num w:numId="23">
    <w:abstractNumId w:val="6"/>
  </w:num>
  <w:num w:numId="24">
    <w:abstractNumId w:val="34"/>
  </w:num>
  <w:num w:numId="25">
    <w:abstractNumId w:val="7"/>
  </w:num>
  <w:num w:numId="26">
    <w:abstractNumId w:val="38"/>
  </w:num>
  <w:num w:numId="27">
    <w:abstractNumId w:val="1"/>
  </w:num>
  <w:num w:numId="28">
    <w:abstractNumId w:val="4"/>
  </w:num>
  <w:num w:numId="29">
    <w:abstractNumId w:val="20"/>
  </w:num>
  <w:num w:numId="30">
    <w:abstractNumId w:val="3"/>
  </w:num>
  <w:num w:numId="31">
    <w:abstractNumId w:val="12"/>
  </w:num>
  <w:num w:numId="32">
    <w:abstractNumId w:val="36"/>
  </w:num>
  <w:num w:numId="33">
    <w:abstractNumId w:val="31"/>
  </w:num>
  <w:num w:numId="34">
    <w:abstractNumId w:val="37"/>
  </w:num>
  <w:num w:numId="35">
    <w:abstractNumId w:val="2"/>
  </w:num>
  <w:num w:numId="36">
    <w:abstractNumId w:val="33"/>
  </w:num>
  <w:num w:numId="37">
    <w:abstractNumId w:val="27"/>
  </w:num>
  <w:num w:numId="38">
    <w:abstractNumId w:val="25"/>
  </w:num>
  <w:num w:numId="39">
    <w:abstractNumId w:val="19"/>
  </w:num>
  <w:num w:numId="4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00B"/>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7A3"/>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2E7"/>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0E1F"/>
    <w:rsid w:val="000B14C3"/>
    <w:rsid w:val="000B17D3"/>
    <w:rsid w:val="000B1FBB"/>
    <w:rsid w:val="000B213D"/>
    <w:rsid w:val="000B28F8"/>
    <w:rsid w:val="000B2AAB"/>
    <w:rsid w:val="000B2DC5"/>
    <w:rsid w:val="000B3075"/>
    <w:rsid w:val="000B33B1"/>
    <w:rsid w:val="000B3CCC"/>
    <w:rsid w:val="000B3EDD"/>
    <w:rsid w:val="000B4499"/>
    <w:rsid w:val="000B4699"/>
    <w:rsid w:val="000B4B9E"/>
    <w:rsid w:val="000B4C5F"/>
    <w:rsid w:val="000B5476"/>
    <w:rsid w:val="000B557F"/>
    <w:rsid w:val="000B5877"/>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49C6"/>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8C6"/>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36B"/>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426"/>
    <w:rsid w:val="00201E47"/>
    <w:rsid w:val="00202013"/>
    <w:rsid w:val="00202889"/>
    <w:rsid w:val="00202EE2"/>
    <w:rsid w:val="00203022"/>
    <w:rsid w:val="002030ED"/>
    <w:rsid w:val="00203C8A"/>
    <w:rsid w:val="00204247"/>
    <w:rsid w:val="00204579"/>
    <w:rsid w:val="00204632"/>
    <w:rsid w:val="00204846"/>
    <w:rsid w:val="00204BDF"/>
    <w:rsid w:val="00204C6D"/>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1A7"/>
    <w:rsid w:val="00326749"/>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2DA5"/>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43B0"/>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4E83"/>
    <w:rsid w:val="003E519B"/>
    <w:rsid w:val="003E53E1"/>
    <w:rsid w:val="003E5951"/>
    <w:rsid w:val="003E70DD"/>
    <w:rsid w:val="003E7698"/>
    <w:rsid w:val="003E7B95"/>
    <w:rsid w:val="003F10A4"/>
    <w:rsid w:val="003F132F"/>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C0C"/>
    <w:rsid w:val="004120ED"/>
    <w:rsid w:val="0041218E"/>
    <w:rsid w:val="004122EC"/>
    <w:rsid w:val="00413D3D"/>
    <w:rsid w:val="00415AC3"/>
    <w:rsid w:val="00416080"/>
    <w:rsid w:val="00416242"/>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BDA"/>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B7B46"/>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33B9"/>
    <w:rsid w:val="004E44DE"/>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4BB2"/>
    <w:rsid w:val="00565DA4"/>
    <w:rsid w:val="0056691D"/>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B9F"/>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20B"/>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97EB9"/>
    <w:rsid w:val="006A050E"/>
    <w:rsid w:val="006A05C5"/>
    <w:rsid w:val="006A1554"/>
    <w:rsid w:val="006A1697"/>
    <w:rsid w:val="006A17B9"/>
    <w:rsid w:val="006A234D"/>
    <w:rsid w:val="006A344B"/>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46E"/>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7696"/>
    <w:rsid w:val="0070020C"/>
    <w:rsid w:val="007004CD"/>
    <w:rsid w:val="00700715"/>
    <w:rsid w:val="00700AC5"/>
    <w:rsid w:val="00700D86"/>
    <w:rsid w:val="00701118"/>
    <w:rsid w:val="00701A6C"/>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0AFF"/>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66C0"/>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0851"/>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73"/>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3A9"/>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496"/>
    <w:rsid w:val="00A245EC"/>
    <w:rsid w:val="00A2495F"/>
    <w:rsid w:val="00A24D6F"/>
    <w:rsid w:val="00A24E35"/>
    <w:rsid w:val="00A24EC5"/>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C5B"/>
    <w:rsid w:val="00A45D56"/>
    <w:rsid w:val="00A463D4"/>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5C8"/>
    <w:rsid w:val="00A659E6"/>
    <w:rsid w:val="00A65DFE"/>
    <w:rsid w:val="00A661E9"/>
    <w:rsid w:val="00A66397"/>
    <w:rsid w:val="00A663A7"/>
    <w:rsid w:val="00A66A34"/>
    <w:rsid w:val="00A66DBE"/>
    <w:rsid w:val="00A670D8"/>
    <w:rsid w:val="00A67DB0"/>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117"/>
    <w:rsid w:val="00AB4C2C"/>
    <w:rsid w:val="00AB4F61"/>
    <w:rsid w:val="00AB5649"/>
    <w:rsid w:val="00AB6447"/>
    <w:rsid w:val="00AB6B4C"/>
    <w:rsid w:val="00AB6FA3"/>
    <w:rsid w:val="00AC0012"/>
    <w:rsid w:val="00AC049E"/>
    <w:rsid w:val="00AC14A3"/>
    <w:rsid w:val="00AC14C2"/>
    <w:rsid w:val="00AC19C8"/>
    <w:rsid w:val="00AC2303"/>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5BA"/>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8D6"/>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F7E"/>
    <w:rsid w:val="00B30FC0"/>
    <w:rsid w:val="00B322BC"/>
    <w:rsid w:val="00B322D1"/>
    <w:rsid w:val="00B32767"/>
    <w:rsid w:val="00B33932"/>
    <w:rsid w:val="00B33E1F"/>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6015"/>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5E93"/>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6600"/>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5C90"/>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3DF0"/>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85B"/>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699"/>
    <w:rsid w:val="00CD5ECA"/>
    <w:rsid w:val="00CD6B34"/>
    <w:rsid w:val="00CD707C"/>
    <w:rsid w:val="00CD70BF"/>
    <w:rsid w:val="00CD7B6F"/>
    <w:rsid w:val="00CE0441"/>
    <w:rsid w:val="00CE0A41"/>
    <w:rsid w:val="00CE0AD8"/>
    <w:rsid w:val="00CE0BED"/>
    <w:rsid w:val="00CE1C7B"/>
    <w:rsid w:val="00CE574D"/>
    <w:rsid w:val="00CE5948"/>
    <w:rsid w:val="00CE6211"/>
    <w:rsid w:val="00CE66A2"/>
    <w:rsid w:val="00CE69AC"/>
    <w:rsid w:val="00CE6F95"/>
    <w:rsid w:val="00CE79C8"/>
    <w:rsid w:val="00CF0070"/>
    <w:rsid w:val="00CF00FB"/>
    <w:rsid w:val="00CF0C10"/>
    <w:rsid w:val="00CF22D6"/>
    <w:rsid w:val="00CF23C7"/>
    <w:rsid w:val="00CF2AB2"/>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172"/>
    <w:rsid w:val="00D8296C"/>
    <w:rsid w:val="00D82ABD"/>
    <w:rsid w:val="00D82FB9"/>
    <w:rsid w:val="00D83E58"/>
    <w:rsid w:val="00D8410F"/>
    <w:rsid w:val="00D84EDE"/>
    <w:rsid w:val="00D859BE"/>
    <w:rsid w:val="00D85B56"/>
    <w:rsid w:val="00D862E5"/>
    <w:rsid w:val="00D86705"/>
    <w:rsid w:val="00D86D85"/>
    <w:rsid w:val="00D86FD2"/>
    <w:rsid w:val="00D87751"/>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5068"/>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E9C"/>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58EB"/>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5ECF"/>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12AE"/>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EditorsNote">
    <w:name w:val="Editor's Note"/>
    <w:aliases w:val="EN"/>
    <w:basedOn w:val="Normal"/>
    <w:link w:val="EditorsNoteChar"/>
    <w:qFormat/>
    <w:rsid w:val="00780AFF"/>
    <w:pPr>
      <w:keepLines/>
      <w:overflowPunct w:val="0"/>
      <w:autoSpaceDE w:val="0"/>
      <w:autoSpaceDN w:val="0"/>
      <w:adjustRightInd w:val="0"/>
      <w:spacing w:after="180"/>
      <w:ind w:left="1135" w:hanging="851"/>
      <w:jc w:val="left"/>
      <w:textAlignment w:val="baseline"/>
    </w:pPr>
    <w:rPr>
      <w:rFonts w:ascii="Times New Roman" w:eastAsia="Times New Roman" w:hAnsi="Times New Roman"/>
      <w:color w:val="FF0000"/>
      <w:szCs w:val="20"/>
      <w:lang w:eastAsia="ja-JP"/>
    </w:rPr>
  </w:style>
  <w:style w:type="character" w:customStyle="1" w:styleId="EditorsNoteChar">
    <w:name w:val="Editor's Note Char"/>
    <w:link w:val="EditorsNote"/>
    <w:rsid w:val="00780AFF"/>
    <w:rPr>
      <w:rFonts w:eastAsia="Times New Roman"/>
      <w:color w:val="FF0000"/>
      <w:lang w:val="en-GB" w:eastAsia="ja-JP"/>
    </w:rPr>
  </w:style>
  <w:style w:type="paragraph" w:customStyle="1" w:styleId="B2">
    <w:name w:val="B2"/>
    <w:basedOn w:val="List2"/>
    <w:link w:val="B2Char"/>
    <w:rsid w:val="003E4E83"/>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olor w:val="000000"/>
      <w:szCs w:val="20"/>
      <w:lang w:eastAsia="ja-JP"/>
    </w:rPr>
  </w:style>
  <w:style w:type="paragraph" w:customStyle="1" w:styleId="B3">
    <w:name w:val="B3"/>
    <w:basedOn w:val="List3"/>
    <w:link w:val="B3Car"/>
    <w:rsid w:val="003E4E83"/>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3E4E83"/>
    <w:rPr>
      <w:rFonts w:eastAsia="Times New Roman"/>
      <w:color w:val="000000"/>
      <w:lang w:val="en-GB" w:eastAsia="ja-JP"/>
    </w:rPr>
  </w:style>
  <w:style w:type="character" w:customStyle="1" w:styleId="B2Char">
    <w:name w:val="B2 Char"/>
    <w:link w:val="B2"/>
    <w:rsid w:val="003E4E83"/>
    <w:rPr>
      <w:rFonts w:eastAsia="Times New Roman"/>
      <w:color w:val="000000"/>
      <w:lang w:val="en-GB" w:eastAsia="ja-JP"/>
    </w:rPr>
  </w:style>
  <w:style w:type="paragraph" w:styleId="List2">
    <w:name w:val="List 2"/>
    <w:basedOn w:val="Normal"/>
    <w:semiHidden/>
    <w:unhideWhenUsed/>
    <w:rsid w:val="003E4E83"/>
    <w:pPr>
      <w:ind w:left="566" w:hanging="283"/>
      <w:contextualSpacing/>
    </w:pPr>
  </w:style>
  <w:style w:type="paragraph" w:styleId="List3">
    <w:name w:val="List 3"/>
    <w:basedOn w:val="Normal"/>
    <w:semiHidden/>
    <w:unhideWhenUsed/>
    <w:rsid w:val="003E4E83"/>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0764288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4952204">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B373BBF8-AA72-4339-A033-44D918184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40123CB-03AF-4A23-B835-DC85472FA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Pages>
  <Words>2675</Words>
  <Characters>15248</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17888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Intel3</cp:lastModifiedBy>
  <cp:revision>2</cp:revision>
  <cp:lastPrinted>2017-10-24T05:18:00Z</cp:lastPrinted>
  <dcterms:created xsi:type="dcterms:W3CDTF">2019-02-14T22:54:00Z</dcterms:created>
  <dcterms:modified xsi:type="dcterms:W3CDTF">2019-02-14T22:54:00Z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2019-02-14 17:14:12Z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